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PE18.014463 vom 23. August 2018</w:t>
      </w:r>
    </w:p>
    <w:p>
      <w:r>
        <w:t>VD Tribunal cantonal, 2018-08-23, FR</w:t>
      </w:r>
    </w:p>
    <w:p>
      <w:r>
        <w:rPr>
          <w:b/>
        </w:rPr>
        <w:t xml:space="preserve">Quelle: </w:t>
      </w:r>
      <w:r>
        <w:t>https://mcp.opencaselaw.ch/entscheid/vd_gerichte_PE18.014463</w:t>
      </w:r>
    </w:p>
    <w:p>
      <w:r>
        <w:t>FR: VD_GERICHTE PE18.014463 du 23 août 2018</w:t>
      </w:r>
    </w:p>
    <w:p>
      <w:r>
        <w:t>IT: VD_GERICHTE PE18.014463 del 23 agosto 2018</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 RSV 312.01]; art. 80 LOJV [Loi d’organisation judiciaire du 12 décembre 1979 ; RSV 173.01]).</w:t>
      </w:r>
    </w:p>
    <w:p>
      <w:r>
        <w:t>- 4 -</w:t>
      </w:r>
    </w:p>
    <w:p>
      <w:r>
        <w:rPr>
          <w:b/>
        </w:rPr>
        <w:t>E. 1.2</w:t>
      </w:r>
    </w:p>
    <w:p>
      <w:r>
        <w:t>En l’espèce, interjeté dans le délai légal auprès de l’autorité compétente par la partie plaignante qui a qualité pour recourir (art. 382 al.</w:t>
      </w:r>
    </w:p>
    <w:p>
      <w:r>
        <w:rPr>
          <w:b/>
        </w:rPr>
        <w:t>E. 2</w:t>
      </w:r>
    </w:p>
    <w:p>
      <w:r>
        <w:t>Aux termes de l'art. 310 al. 1 let. a CPP, une ordonnance de non-entrée en matière est rendue immédiatement – c’est-à-dire sans qu’une instruction soit ouverte (art. 309 al. 1 et 4 CPP ; TF 1B_111/2012 du</w:t>
      </w:r>
    </w:p>
    <w:p>
      <w:r>
        <w:rPr>
          <w:b/>
        </w:rPr>
        <w:t>E. 2.1</w:t>
      </w:r>
    </w:p>
    <w:p>
      <w:r>
        <w:t>et les références citées ; TF 1B_709/2012 précité consid. 3.1 in fine). 3. 3.1 Le recourant conteste l’intégralité des accusations de sa fille et reproche au Procureur d’avoir considéré que les déclarations d’A.K.________ n’étaient pas constitutives d’une infraction pénale. Il fait valoir en substance que sa fille ne se serait pas contentée de rapporter</w:t>
      </w:r>
    </w:p>
    <w:p>
      <w:r>
        <w:t>- 5 - des faits que lui aurait relatés sa propre fille, mais qu’elle l’aurait accusé d’avoir été un père violent, abusant fréquemment de l’alcool et battant sa fille, sa femme et la fille de cette dernière, et d’avoir agressé sexuellement, voire violé, sa demi-sœur, que les déclarations faites par A.K.________ seraient attentatoires à l’honneur et que la conduite d’une instruction serait nécessaire pour éclaircir ce que sa fille savait et quels étaient ses desseins. 3.2 Aux termes de l'art. 303 ch. 1 al. 1 CP (Code pénal suisse du 21 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L'infraction est intentionnelle. L'auteur doit savoir que la personne visée par la dénonciation est innocente, comme c'est le cas pour la calomnie. Il s'agit d'une connaissance au sens strict. Le dol éventuel est exclu (Dupuis et alii, Petit commentaire du Code pénal, 2e éd., Bâle 2017, nn. 22-23 ad art. 303 CP ; Corboz, Les infractions en droit suisse, vol. II, 3e éd., Berne 2010, n. 17 ad art. 303 CP, p. 591 ; ATF 136 IV 170 consid. 2.1 ; TF 6B_32/2011 du 24 février 2011 consid. 1.1), de sorte que l'auteur peut objecter n'avoir pas su le dénoncé innocent en invoquant sa bonne foi (ATF 72 IV 74 consid. 1). L’infraction est consommée dès que la dénonciation est faite. Il n’est pas nécessaire qu’une poursuite pénale soit effectivement ouverte (Dupuis et alii, op. cit., n. 26 ad art. 303 CP). 3.3 3.3.1 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w:t>
      </w:r>
    </w:p>
    <w:p>
      <w:r>
        <w:t>- 6 -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 ATF 133 IV 308 consid. 8.5.1).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 ATF 133 IV 308 consid. 8.5.1 précité ; CREP 26 mai 2015/361 consid. 2.2). 3.3.2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l'admission à la preuve constituant la règle (Corboz, op. cit., n. 54 ad. art. 173 CP, p. 592). L'accusé admis à apporter les preuves libératoires a le choix de fournir la preuve de la vérité ou la preuve de la bonne foi (ATF 124 IV 149 consid. 3a). Apporte la preuve de la vérité un accusé qui établit que</w:t>
      </w:r>
    </w:p>
    <w:p>
      <w:r>
        <w:t>- 7 - ce qu'il a allégué, soupçonné ou propagé est vrai (ibidem). Tous les éléments de preuve, même ceux qui lui étaient inconnus au moment où il s'est exprimé, peuvent être apportés, car la seule question pertinente est celle de la véracité du propos (ATF 122 IV 311 consid. 2c et 2e; ATF 106 IV 115 consid. 2a). En outre, la preuve de la vérité doit être considérée comme rapportée par l'auteur lorsque les faits qu'il a allégués sont établis pour l'essentiel (ATF 102 IV 176 consid. 1b). La preuve de la bonne foi suppose que l'accusé établisse qu'il avait des raisons sérieuses de tenir de bonne foi ses allégations pour vraies ou ses soupçons pour fondés (cf. art. 173 ch. 2 CP; ATF 102 IV 176 consid.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consid. 3; ATF 105 IV 114 consid. 2a). 3.4 En l’espèce, lors de son audition-plainte du 18 janvier 2018 par la police (P. 5), A.K.________ ne s’est pas contentée de relater des faits que sa fille mineure lui aurait confiés, soit des faits prétendument commis en mars 2017, mais elle a également indiqué que le recourant était un père violent, abusant fréquemment de l’alcool, qui battait sa fille, sa femme et la fille de celle-ci, et qu’il avait abusé sexuellement, voir violé, sa demi- sœur. Peu importe qu’il apparaisse qu’une partie des faits dont est accusé le recourant par sa fille se soient produits au plus tard avant 1986 et qu’ils soient éventuellement prescrits. En effet, la question à résoudre n’est pas de savoir si le recourant est encore susceptible d’être condamné pour ces faits anciens, mais bien plutôt de déterminer si les accusations formulées par A.K.________ à la police lors de son audition du 18 janvier 2018 à l’encontre du recourant portent atteinte à l’honneur de celui-ci et si la fille du recourant pouvait, de bonne foi, penser que les faits en question</w:t>
      </w:r>
    </w:p>
    <w:p>
      <w:r>
        <w:t>- 8 - s’étaient produits. Le Procureur a retenu qu’A.K.________ avait été « obligée » de s’expliquer devant la police. Il ne fait toutefois aucun doute que la fille du recourant ne pouvait qu’avoir la conscience et la volonté de communiquer des faits attentatoires à l’honneur de son père. Or, on ignore si ses accusations sont vraies et, à supposer qu’elles soient fausses, on ignore si l’auteure avait des raisons sérieuses de les tenir de bonne foi pour vraies au sens de l’art. 173 ch. 2 in fine CP, auquel cas elle serait admise à apporter la preuve libératoire prévue par cette disposition, ou si, bien plutôt, elle a agi dans un dessein dolosif, le cas échéant même en connaissant la fausseté de ses allégations selon l’art. 174 ch. 1 CP. Partant, on ne saurait d'emblée exclure que les éléments constitutifs objectifs et subjectifs des infractions dénoncées par le recourant soient réalisés. Il appartient ainsi au Ministère public de déterminer si les conditions de la poursuite pénale sont réalisées, dans l’affirmative pour quelles infractions, après avoir établi les faits utiles à cet égard. La décision de non-entrée en matière n’est ainsi pas justifiée et une instruction pénale doit être ouverte contre A.K.________. 4. En définitive, le recours interjeté par C.________ doit être admis et l’ordonnance du 25 juillet 2018 annulée, le dossier de la cause étant renvoyé au Ministère public de l’arrondissement de Lausanne pour qu’il procède dans le sens des considérants. Le recourant sollicite l’octroi de l’assistance judiciaire gratuite (art. 136 CPP) pour la procédure de recours. Vu l’issue du recours, il y a lieu d’admettre cette requête, de désigner Me Adrian Veser, déjà consulté, en qualité de conseil juridique gratuit pour la procédure de recours (art. 136 al. 2 let. c CPP) et de fixer son indemnité à 540 fr., plus la TVA, par 41 fr. 60, soit à 581 fr. 60 au total. Les frais de la procédure de recours, constitués en l’espèce de l’émolument d'arrêt, par 880 fr. (art. 20 al. 1 TFIP [Tarif des frais de procédure et indemnités en matière pénale du 28 septembre 2010; RSV</w:t>
      </w:r>
    </w:p>
    <w:p>
      <w:r>
        <w:t>- 9 - 312.03.1]), et des frais imputables à l’assistance judiciaire gratuite (art. 422 al. 1 et 2 let. a CPP), par 581 fr. 60 au total, seront laissés à la charge de l’Etat (art. 423 al. 1 CPP). Par ces motifs, la Chambre des recours pénale prononce : I. Le recours est admis. II. L’ordonnance du 25 juillet 2018 est annulée. III. Le dossier de la cause est renvoyé au Ministère public de l’arrondissement de Lausanne pour qu’il procède dans le sens des considérants. IV. Me Adrian Veser est désigné en qualité de conseil juridique gratuit de C.________ pour la procédure de recours. V. L’indemnité allouée à Me Adrian Veser, conseil juridique gratuit du recourant, est fixée à 581 fr. 60 fr. (cinq cent huitante et un francs et soixante centimes) pour la procédure de recours, à la charge de l’Etat. VI. Les frais d’arrêt, par 880 fr. (huit cent huitante francs), ainsi que l’indemnité due au conseil juridique gratuit de C.________ allouée au chiffre V ci-dessus, sont laissés à la charge de l’Etat. VII. L’arrêt est exécutoire. Le président : La greffière : Du Le présent arrêt, dont la rédaction a été approuvée à huis clos, est notifié, par l'envoi d'une copie complète, à : - Me Adrian Veser, avocat (pour C.________), - Ministère public central,</w:t>
      </w:r>
    </w:p>
    <w:p>
      <w:r>
        <w:t>- 10 -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5</w:t>
      </w:r>
    </w:p>
    <w:p>
      <w:r>
        <w:t>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(TF 1B_709/2012 du 21 février 2013 consid. 3.1 ; TF 1B_111/2012 du 5 avril 2012 consid. 2.1 ; TF 1B_67/2012 du 29 mai 2012 consid. 2.2).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 plies. Une non-entrée en matière s'impose en particulier lorsque le litige est de nature purement civile (TF 6B_271/2016 du 22 août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