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PE18.014441 vom 18. Dezember 2020</w:t>
      </w:r>
    </w:p>
    <w:p>
      <w:r>
        <w:t>VD Tribunal cantonal, 2020-12-18, FR</w:t>
      </w:r>
    </w:p>
    <w:p>
      <w:r>
        <w:rPr>
          <w:b/>
        </w:rPr>
        <w:t xml:space="preserve">Quelle: </w:t>
      </w:r>
      <w:r>
        <w:t>https://mcp.opencaselaw.ch/entscheid/vd_gerichte_PE18.014441</w:t>
      </w:r>
    </w:p>
    <w:p>
      <w:r>
        <w:t>FR: VD_GERICHTE PE18.014441 du 18 décembre 2020</w:t>
      </w:r>
    </w:p>
    <w:p>
      <w:r>
        <w:t>IT: VD_GERICHTE PE18.014441 del 18 dicembre 2020</w:t>
      </w:r>
    </w:p>
    <w:p>
      <w:pPr>
        <w:pStyle w:val="Heading2"/>
      </w:pPr>
      <w:r>
        <w:t>Erwägungen</w:t>
      </w:r>
    </w:p>
    <w:p>
      <w:r>
        <w:rPr>
          <w:b/>
        </w:rPr>
        <w:t>E. 1</w:t>
      </w:r>
    </w:p>
    <w:p>
      <w:r>
        <w:t>Lorsque le Tribunal fédéral admet un recours, il statue lui-même sur le fond ou renvoie l'affaire à l'autorité précédente</w:t>
      </w:r>
    </w:p>
    <w:p>
      <w:r>
        <w:t>- 5 -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L'autorité à laquelle l'affaire est renvoyée est liée par ce qui a déjà été définitivement tranché par le Tribunal fédéral et par les constatations de fait qui n'ont pas été attaquées devant lui ou l'ont été sans succès (ATF 131 III 91 consid. 5.2; TF 6B_387/2020 du 25 octobre 2021 consid. 1.3.1; TF 6B_1233/2016 du 29 août 2017 consid. 1). La motivation de l'arrêt de renvoi fixe ainsi tant le cadre du nouvel état de fait que celui de la nouvelle motivation juridique (ATF 135 III 334 consid. 2; TF 6B_1233/2016 du 29 août 2017 consid. 1).</w:t>
      </w:r>
    </w:p>
    <w:p>
      <w:r>
        <w:rPr>
          <w:b/>
        </w:rPr>
        <w:t>E. 2</w:t>
      </w:r>
    </w:p>
    <w:p>
      <w:r>
        <w:t>Dans son arrêt de renvoi, le Tribunal fédéral a arrêté l’indemnité de Me Z.________ à 5'327 fr. 90, de sorte qu’il convient d’en prendre acte et de réformer le jugement de la Cour d’appel pénale du 20 juillet 2021 (n° 284) au chiffre V/VIII de son dispositif en ce sens. Pour tenir compte du fait que cette réforme imposerait à Q.________, débiteur de l’indemnité d’office, la péjoration de sa situation sans qu’il ne soit possible de l’interpeller, seule une part de ce montant correspondant à ce que la Cour de céans avait arrêté dans son précédent jugement, soit 4'954 fr. 75, sera mise à la charge de ce prévenu, le solde, par 373 fr. étant laissé à la charge de l’Etat. Le jugement entrepris sera ainsi également modifié par l’ajout d’un chiffre V/VIIIbis nouveau en ce sens que Q.________ sera tenu de</w:t>
      </w:r>
    </w:p>
    <w:p>
      <w:r>
        <w:t>- 6 - rembourser à l’Etat la part de l’indemnité de son défenseur d’office mise à sa charge dès que sa situation financière le permettra.</w:t>
      </w:r>
    </w:p>
    <w:p>
      <w:r>
        <w:rPr>
          <w:b/>
        </w:rPr>
        <w:t>E. 3</w:t>
      </w:r>
    </w:p>
    <w:p>
      <w:r>
        <w:t>S’agissant des frais d’appel antérieurs à l’arrêt du Tribunal fédéral du 26 janvier 2023, la répartition de ceux-ci n’est pas modifiée puisque le sort du recours déposé par Me Z.________ reste inchangé.</w:t>
      </w:r>
    </w:p>
    <w:p>
      <w:r>
        <w:rPr>
          <w:b/>
        </w:rPr>
        <w:t>E. 4</w:t>
      </w:r>
    </w:p>
    <w:p>
      <w:r>
        <w:t>Le présent jugement ayant été rendu à la suite de l’arrêt de renvoi du Tribunal fédéral, les frais d'appel postérieurs à celui-ci, constitués de l’émolument du présent jugement, par 770 fr. (art. 21 al. 1 TFIP),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