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PE18.014194 vom 10. April 2019</w:t>
      </w:r>
    </w:p>
    <w:p>
      <w:r>
        <w:t>VD Tribunal cantonal, 2019-04-10, FR</w:t>
      </w:r>
    </w:p>
    <w:p>
      <w:r>
        <w:rPr>
          <w:b/>
        </w:rPr>
        <w:t xml:space="preserve">Quelle: </w:t>
      </w:r>
      <w:r>
        <w:t>https://mcp.opencaselaw.ch/entscheid/vd_gerichte_PE18.014194</w:t>
      </w:r>
    </w:p>
    <w:p>
      <w:r>
        <w:t>FR: VD_GERICHTE PE18.014194 du 10 avril 2019</w:t>
      </w:r>
    </w:p>
    <w:p>
      <w:r>
        <w:t>IT: VD_GERICHTE PE18.014194 del 10 aprile 2019</w:t>
      </w:r>
    </w:p>
    <w:p>
      <w:pPr>
        <w:pStyle w:val="Heading2"/>
      </w:pPr>
      <w:r>
        <w:t>Erwägungen</w:t>
      </w:r>
    </w:p>
    <w:p>
      <w:r>
        <w:rPr>
          <w:b/>
        </w:rPr>
        <w:t>E. 10</w:t>
      </w:r>
    </w:p>
    <w:p>
      <w:r>
        <w:t>et 11 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consid. 3.2). A titre d’exemple, l’infraction de voies de fait commise à réitérées reprises au sens de l’art. 126 al. 1 let. a CP a été retenue dans le cas d’une personne qui avait donné des coups de pied au derrière et des gifles aux</w:t>
      </w:r>
    </w:p>
    <w:p>
      <w:r>
        <w:t>- 8 - enfants de son amie à une dizaine de reprises en l'espace de trois ans et leur avait régulièrement tiré les oreilles, l’auteur ayant dépassé ce qui était admissible au regard d'un éventuel droit de correction (TF 6S.178/2005 du 22 juin 2005 consid. 3.1). 2.3 En l’espèce, le tribunal de première instance a retenu, sur la base des déclarations de Y.________, jugées crédibles, précises, nuancées et dignes de foi, que l’appelant a, de l’été 2016 au printemps 2018, à raison d’une à deux fois par semaine, sous le coup de l’énervement, réprimé les bêtises de sa fille B.________ par des fessées administrées par- dessus les habits de celle-ci. Au vu des éléments au dossier, notamment des dépositions de Y.________ et de l’appelant lui-même, l’existence des fessées n’est pas manifestement insoutenable. En effet, l’appelant a lui-même reconnu avoir eu recourt aux fessées pour corriger sa fille lorsque celle-ci refusait d’obéir (PV aud. 3, R. 9). S’agissant de l’appréciation de la fréquence à laquelle l’appelant a eu recourt à cette forme de correction, le tribunal de première instance, se fondant sur les seules déclarations de Y.________, a retenu que celles-ci avaient été infligées à la victime environ une à deux fois par semaine. Toutefois, il sied de relever que si, lors de son audition du 14 juin 2018 (PV aud. 2, p. 3), Y.________ a effectivement estimé qu’il arrivait environ deux fois par semaine que « X.________ s’énerve et tape », on comprend, à la lecture de la phrase précédente, qu’elle parlait de tapes sur les mains, avec la main, lorsque les enfants faisaient des bêtises. Elle ne s’est en revanche jamais formellement prononcée sur la fréquence des fessées infligées par son compagnon. Pour le surplus, le tribunal de première instance n’a pas pris en compte la déposition de Z.________, sœur de Y.________, entendue lors de l’audience du 10 avril 2019. Or il ressort de ses déclarations que Z.________ a habité pendant deux mois avec le couple formé par l’appelant et Y.________ ainsi que leurs deux enfants vers la fin de l’année 2016 ; elle a déclaré que X.________ se comportait bien avec ses enfants et qu’elle n’avait jamais vu d’autres punitions infligées à</w:t>
      </w:r>
    </w:p>
    <w:p>
      <w:r>
        <w:t>- 9 - B.________ que de la faire asseoir sur une chaise ou de la faire aller dans sa chambre ; en particulier, elle n’a jamais été le témoin de fessées et sa sœur ne lui en avait jamais parlé non plus (jugement du 10 avril 2019, p. 5). Au vu de ces éléments, il apparaît arbitraire de retenir que l’appelant aurait régulièrement infligé, sous le coup de l’énervement, des fessées à sa fille à raison d’une à deux fois par semaine. En effet, on voit mal comment, si tel avait été le cas, la belle-sœur de l’appelant, qui a partagé le quotidien de la famille pendant près de huit semaines, n’aurait jamais été témoin d’un seul de ces actes. En effet, on rappellera que, selon le jugement de première instance, l’appelant agissait sous le coup de l’énervement. Considérant l’impulsivité qui relève d’un tel comportement, il n’est donc pas crédible de penser que la seule présence de la sœur de sa compagne ait eu pour effet de permettre à l’appelant de se maîtriser pendant plusieurs semaines et de modifier un comportement qu’il aurait eu l’habitude d’adopter une à deux fois par semaine. De son côté l’appelant ne s’est lui-même jamais prononcé sur la fréquence des fessées qu’il a administrées à sa fille, se contentant d’indiquer, lors de son audition du 4 juillet 2018, que ce n’était « pas souvent » et que cela faisait plus de six mois qu’il n’en avait pas donnée. Enfin, l’audition de la fillette n’est d’aucun secours sur ce point, dès lors qu’elle n’a jamais abordé le sujet des fessées durant l’heure qu’a duré son audition (cf. PV aud. 1 et le DVD inventoriés sous fiches n° 23751 et 23752). Au vu de ces éléments, il y a lieu de retenir que la fréquence et la régularité des fessées administrées à sa fille par l’appelant n’est pas établie, mais qu’elle était certainement inférieure à celle retenue dans le jugement de première instance. A défaut d’autres éléments et au bénéfice du doute, on doit donc retenir qu’il est arrivé à l’appelant de corriger sa fille à quelques reprises en lui infligeant une fessée. 2.4 Il convient enfin de déterminer si le comportement de l’appelant demeure dans le cadre du droit de correction reconnu aux parents sur leur enfant lorsque la correction reste occasionnelle, qu'elle ne provoque pas de lésions corporelles, qu'elle fait suite à un comportement</w:t>
      </w:r>
    </w:p>
    <w:p>
      <w:r>
        <w:t>- 10 - inadéquat de l'enfant et qu'elle est proportionnée aux buts éducatifs à atteindre. En l’espèce, force est de constater, que ces conditions sont réunies. Les fessées apparaissent en effet être demeurées rares et consécutives à des comportements inadéquats de la petite fille, dont le comportement hyperactif et difficile s’est encore traduit lors de son audition par la police (cf. DVD de l’audition de B.________ du 5 juin 2018). Aucune marque ou lésion n’ont été constatées sur le corps de l’enfant. En définitive, le comportement de l’appelant pouvant – dans la mesure des faits établis – entrer dans ce qui est admissible au regard du droit de correction, X.________ doit être libéré du chef d’accusation de voies de fait qualifiées. 2.5 Vu l’acquittement de l’appelant, celui-ci ne doit pas supporter les frais de première instance. Le chiffre V du dispositif du jugement attaqué doit par conséquent être modifié en ce sens que les frais de la procédure de première instance doivent être laissés à la charge de l’Etat. 2.6 X.________ qui a obtenu gain de cause et qui a procédé avec l'assistance d'un conseil professionnel, a droit à une juste indemnité pour les dépenses occasionnées par la procédure de première instance au sens de l’art. 429 CPP. Il n’y a pas lieu de s’écarter du relevé d’activités produit par le défenseur de l’appelant qui fait état de 6 heures et 50 minutes de travail d’avocat pour la procédure de première instance (P. 30). Toutefois, le défenseur se prévaut d’un tarif horaire de 350 fr. de l’heure. Or, il découle des art. 26a al. 3 et 4 TFIP (Tarif des frais de procédure et indemnités en matière pénale du 28 septembre 2010; BLV 312.03.1)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En l’espèce, le tarif horaire doit être arrêté à 250 fr. dès lors que le</w:t>
      </w:r>
    </w:p>
    <w:p>
      <w:r>
        <w:t>- 11 - l’appelant était uniquement renvoyé pour une contravention et que la cause ne relève pas d’une grande complexité. Ainsi, c’est donc une indemnité de 1'842 fr., y compris 2 fr. de débours et 131 fr. 70 de TVA à 7.7%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qui doit être allouée à X.________ pour l’exercice raisonnable de ses droits de procédure en première instance, à la charge de l’Etat. 3. En définitive, l’appel interjeté par X.________ doit être admis et le jugement du 10 avril 2019 réformé dans le sens des considérants qui précèdent. L’appelant, qui obtient gain de cause, a également droit à des dépens pour la procédure d’appel. Au vu de la liste d’opérations produite (P. 35/2/3) – de laquelle il n’y a lieu de s’écarter qu’en ce qui concerne le tarif horaire appliqué, pour les motifs exposés ci-dessus –, il y a lieu d’arrêter cette indemnité à 846 fr. 80, correspondant à 3 heures et 5 minutes d’activité d’avocat à 250 fr. de l’heure pour l’activité postérieure au jugement de première instance, auxquels il convient d’ajouter des débours forfaitaires à concurrence de 2 % (art. 19 al. 2 TDC [Tarif des dépens en matière civile du 23 novembre 2010 ; BLV 270.11.6], applicable par renvoi de l’art. 26a al. 6 TFIP, en vigueur depuis le 1er mai 2019), par</w:t>
      </w:r>
    </w:p>
    <w:p>
      <w:r>
        <w:rPr>
          <w:b/>
        </w:rPr>
        <w:t>E. 15</w:t>
      </w:r>
    </w:p>
    <w:p>
      <w:r>
        <w:t>fr. 40, plus un montant correspondant à la TVA, par 60 fr. 55. Elle sera laissée à la charge de l’Etat. Vu l’issue de la cause, les frais d’appel, constitués en l’espèce de l’émolument de jugement, par 900 fr. (art. 21 al. 1 TFIP [Tarif des frais de procédure et indemnités en matière pénale du 28 septembre 2010 ; BLV 312.03.1]), seront laissés à la charge de l’Etat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