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PE18.014055 vom 13. Dezember 2018</w:t>
      </w:r>
    </w:p>
    <w:p>
      <w:r>
        <w:t>VD Tribunal cantonal, 2018-12-13, FR</w:t>
      </w:r>
    </w:p>
    <w:p>
      <w:r>
        <w:rPr>
          <w:b/>
        </w:rPr>
        <w:t xml:space="preserve">Quelle: </w:t>
      </w:r>
      <w:r>
        <w:t>https://mcp.opencaselaw.ch/entscheid/vd_gerichte_PE18.014055</w:t>
      </w:r>
    </w:p>
    <w:p>
      <w:r>
        <w:t>FR: VD_GERICHTE PE18.014055 du 13 décembre 2018</w:t>
      </w:r>
    </w:p>
    <w:p>
      <w:r>
        <w:t>IT: VD_GERICHTE PE18.014055 del 13 dicembre 2018</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d’U.________ est recevable.</w:t>
      </w:r>
    </w:p>
    <w:p>
      <w:r>
        <w:rPr>
          <w:b/>
        </w:rPr>
        <w:t>E. 2.1</w:t>
      </w:r>
    </w:p>
    <w:p>
      <w:r>
        <w:t>; Schmocker, op. cit., n. 8 ad art. 221 CPP). En d’autres termes, les soupçons doivent se renforcer plus l’instruction avance et plus l’issue du jugement au fond approche (TF 1B_344/2017 du 20 septembre 2017 consid. 4.1 et la réf. citée). Si des raisons plausibles de soupçonner une personne d’avoir commis une infraction suffisent au début de l’enquête, ces motifs objectifs doivent passer de plausibles à vraisemblables. Il faut ainsi, pour reprendre la jurisprudence relative au degré de preuve requis dans un procès, que des éléments parlent en faveur de la culpabilité du prévenu, et ce même si le juge envisage l’éventualité que tel ne soit pas le cas (ATF 140 III 610 consid. 4.1 ; TF 1B_157/2018 du 26 avril 2018 consid. 3.1 et la réf. citée).</w:t>
      </w:r>
    </w:p>
    <w:p>
      <w:r>
        <w:rPr>
          <w:b/>
        </w:rPr>
        <w:t>E. 2.2</w:t>
      </w:r>
    </w:p>
    <w:p>
      <w:r>
        <w:t>et 2.3). Il peut agir tout au plus comme complice d’une infraction à la LStup, cela pour autant que l’infraction principale soit établie, ce qui n’est pas le cas lorsque l’acte d’accusation se borne à mentionner des commanditaires, sans définir plus précisément le trafic de stupéfiants (ATF 130 IV 131 consid. 2).</w:t>
      </w:r>
    </w:p>
    <w:p>
      <w:r>
        <w:rPr>
          <w:b/>
        </w:rPr>
        <w:t>E. 2.2.1</w:t>
      </w:r>
    </w:p>
    <w:p>
      <w:r>
        <w:t>En vertu de l’art. 228 al. 1 CPP, le prévenu peut présenter en tout temps une demande de libération de la détention provisoire. Cette demande doit être admise si les conditions de la détention provisoire ne sont pas ou plus remplies.</w:t>
      </w:r>
    </w:p>
    <w:p>
      <w:r>
        <w:rPr>
          <w:b/>
        </w:rPr>
        <w:t>E. 2.2.2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 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 Il doit ainsi exister des charges suffisantes à l’égard de l’intéressé, soit de sérieux soupçons de culpabilité, c’est-à-dire des raisons plausibles de le soupçonner d’avoir commis une infraction.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(ATF 137 IV 122 consid. 3.2 ; ATF 124 I 208 consid. 3 ; TF 1B_308/2018 du 17 juillet 2018 consid. 2.1 ; Forster, in :</w:t>
      </w:r>
    </w:p>
    <w:p>
      <w:r>
        <w:t>- 7 - Niggli/Heer/Wiprächtiger [éd.], Basler Kommentar, Schweizerische Strafprozessordnung, Jugendstrafprozessordnung, 2e éd., Bâle 2014, n. 3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316 consid. 3.2 ; ATF 137 IV 122 consid. 3.2 ; TF 1B_372/2017 du 26 septembre 2017 consid.</w:t>
      </w:r>
    </w:p>
    <w:p>
      <w:r>
        <w:rPr>
          <w:b/>
        </w:rPr>
        <w:t>E. 2.2.3</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(ATF 133 I 168 consid. 4.1 ; ATF 132 I 21 consid. 4.1 ; TF 1B_238/2017 du 5 juillet 2017 consid. 2.2).</w:t>
      </w:r>
    </w:p>
    <w:p>
      <w:r>
        <w:t>- 8 -</w:t>
      </w:r>
    </w:p>
    <w:p>
      <w:r>
        <w:rPr>
          <w:b/>
        </w:rPr>
        <w:t>E. 2.2.4</w:t>
      </w:r>
    </w:p>
    <w:p>
      <w:r>
        <w:t>En matière de stupéfiants, la jurisprudence a eu l’occasion de préciser que celui qui se procure, entrepose ou cède des produits de coupage permettant d’« étendre » ou diluer la drogue, sans projeter lui- même, en tant qu’auteur ou coauteur, une des infractions visées par l’art. 19 al. 1 let a à f LStup, ne prend pas des mesures concrètes et préparatoires, au sens de l’art. 19 al. 1 let. g LStup, à la commission d’une des infractions mentionnées par cette disposition (ATF 130 IV 131 consid.</w:t>
      </w:r>
    </w:p>
    <w:p>
      <w:r>
        <w:rPr>
          <w:b/>
        </w:rPr>
        <w:t>E. 2.3</w:t>
      </w:r>
    </w:p>
    <w:p>
      <w:r>
        <w:t>En l’espèce, le Ministère public n’invoque, comme nouveaux éléments qui permettraient de justifier un maintien en détention depuis la dernière décision du Tribunal des mesures de contrainte du 9 octobre 2018, que le fait qu’il serait nécessaire que le recourant et B.________ soient jugés ensemble afin d’éviter que l’un des prévenus tente de mettre des éléments à charge de l’autre en son absence, ainsi que le fait que l’enquête est désormais terminée et que le dossier est prêt à être mis en accusation. Force est toutefois d’admettre que ces éléments ne suffisent pas à écarter le fait qu’à ce stade de la procédure, le faisceau d’indices plaidant en faveur de la commission d’une infraction à la LStup d’une importance suffisamment grave pour qu’elle justifie encore un maintien en détention provisoire est particulièrement faible. En effet, et à l’instar du recourant, on ne peut que constater que la seule charge concrète qui pèse à l’encontre d’U.________ de ce chef est la découverte d’une quantité de 453 grammes de produit de coupage dans la chambre qu’il occupait avec B.________, lequel était par ailleurs porteur d’une quantité de 780 grammes d’un tel produit lors de l’interpellation des deux comparses par la police. Loin de se renforcer, les soupçons à l’encontre du recourant se sont donc affaiblis au fil de l’enquête, puisqu’avant que les analyses soient effectuées, il paraissait vraisemblable que la poudre brune saisie fût de</w:t>
      </w:r>
    </w:p>
    <w:p>
      <w:r>
        <w:t>- 9 - l’héroïne. Même s’il est difficile d’admettre que le recourant est étranger à tout commerce de stupéfiants, c’est également à juste titre que celui-ci relève que les autres mesures d’instruction, dont en particulier les contrôles téléphoniques, n’ont pas permis d’établir objectivement qu’il serait l’auteur ou le coauteur d’une infraction à l’art. 19 LStup. Dans ces conditions, et au vu de la jurisprudence restrictive relative aux produits de coupage, il apparaît bien délicat de considérer que le recourant puisse faire l’objet d’une condamnation lourde au sens de la disposition précitée. Les indices en ce sens sont en tous les cas trop ténus et les charges qui pèsent à son endroit trop incertaines à ce stade pour justifier un maintien en détention. On relèvera encore que les autres infractions reprochées au recourant, même si elles paraissent avérées, en tous les cas s’agissant du faux dans les certificats ainsi que de l’entrée et du séjour illégal, ne sont pas non plus passibles de peines suffisamment élevées pour justifier le maintien en détention. En conséquence, le recourant doit être libéré immédiatement. La première condition de l’art. 221 al. 1 CPP faisant défaut, il n’y a par ailleurs pas lieu d’examiner si les autres causes de détention provisoire, en particulier les risques de fuite et de récidive, sont réalisées.</w:t>
      </w:r>
    </w:p>
    <w:p>
      <w:r>
        <w:rPr>
          <w:b/>
        </w:rPr>
        <w:t>E. 3</w:t>
      </w:r>
    </w:p>
    <w:p>
      <w:r>
        <w:t>En définitive, le recours doit être admis et l’ordonnance attaquée réformée en ce sens que la libération immédiate d’U.________ est ordonnée, pour autant qu’il ne doive pas être détenu pour une autre cause, les frais de première instance étant laissés à la charge de l’Etat. Les frais de la procédure de recours, constitués en l’espèce de l’émolument d'arrêt, par 990 fr. (art. 20 al. 1 TFIP [Tarif des frais de procédure et indemnités en matière pénale du 28 septembre 2010 ; RSV 312.03.1]) et des frais imputables à la défense d’office (art. 422 al. 1 et 2 let. a CPP), fixés à 360 fr., plus la TVA par 27 fr. 70, soit à 387 fr. 70 au total, seront laissés à la charge de l’Etat (art. 428 al. 1, 1re phrase, CPP).</w:t>
      </w:r>
    </w:p>
    <w:p>
      <w:r>
        <w:t>- 10 - Par ces motifs, la Chambre des recours pénale prononce : I. Le recours est admis. II. L’ordonnance du 22 novembre 2018 est réformée et son dispositif est modifié comme il suit : « I. admet la demande d’U.________. II. ordonne la libération immédiate d’U.________, pour autant qu’il ne soit pas détenu pour une autre cause. III. laisse les frais de la décision, par 375 fr. (trois cent septante-cinq francs), à la charge de l’Etat. » III. L’indemnité allouée au défenseur d’office d’U.________ pour la procédure de recours est fixée à 387 fr. 70 (trois cent huitante- sept francs et septante centimes). IV. Les frais d’arrêt, par 990 fr. (neuf cent nonante francs), ainsi que l’indemnité due au défenseur d’office d’U.________, par 387 fr. 70 (trois cent huitante-sept francs et septante centimes), sont laissés à la charge de l’Etat. V. L’arrêt est exécutoire. Le président : La greffière : Du Le présent arrêt, dont la rédaction a été approuvée à huis clos, est notifié, par l'envoi d'une copie complète, à : - Me Séverine Berger, avocate (pour U.________) (et par efax), - Ministère public central (et par efax),</w:t>
      </w:r>
    </w:p>
    <w:p>
      <w:r>
        <w:t>- 11 - et communiqué à : - Mme la Présidente du Tribunal des mesures de contrainte (et par efax), - M. le Procureur cantonal Strada (et par efax), - Service de la population (et par efax), - Office d’exécution des peines (et par efax), - Prison du Bois-Mermet (et par efax),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