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PE18.013622 vom 30. Oktober 2019</w:t>
      </w:r>
    </w:p>
    <w:p>
      <w:r>
        <w:t>VD Tribunal cantonal, 2019-10-30, FR</w:t>
      </w:r>
    </w:p>
    <w:p>
      <w:r>
        <w:rPr>
          <w:b/>
        </w:rPr>
        <w:t xml:space="preserve">Quelle: </w:t>
      </w:r>
      <w:r>
        <w:t>https://mcp.opencaselaw.ch/entscheid/vd_gerichte_PE18.013622</w:t>
      </w:r>
    </w:p>
    <w:p>
      <w:r>
        <w:t>FR: VD_GERICHTE PE18.013622 du 30 octobre 2019</w:t>
      </w:r>
    </w:p>
    <w:p>
      <w:r>
        <w:t>IT: VD_GERICHTE PE18.013622 del 30 ottobre 2019</w:t>
      </w:r>
    </w:p>
    <w:p>
      <w:pPr>
        <w:pStyle w:val="Heading2"/>
      </w:pPr>
      <w:r>
        <w:t>Erwägungen</w:t>
      </w:r>
    </w:p>
    <w:p>
      <w:r>
        <w:rPr>
          <w:b/>
        </w:rPr>
        <w:t>E. 5.1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w:t>
      </w:r>
    </w:p>
    <w:p>
      <w:r>
        <w:t>- 34 -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5.2</w:t>
      </w:r>
    </w:p>
    <w:p>
      <w:r>
        <w:t>L’appelant invoque un état de fait arbitraire concernant certaines constatations des premiers juges. Il conteste, comme retenu dans le jugement, que la plaignante s’est rendue en Suisse dans la perspective d’y faire des études à l’EPFL. La plaignante ne serait en effet pas venue en Suisse pour tenter d’y étudier, mais pour s’y établir et elle recherchait, en vivant avec le prévenu, un moyen d’obtenir un permis d’établissement. Au vu des éléments exposés en pages 12 à 14 de la déclaration d’appel, on doit admettre que c’est possible, la plaignante n’ayant en définitive effectué aucune étude en Suisse. En revanche, on ne voit pas ce que cela changerait quant au sort de l’action pénale. En effet, cet élément est sans influence sur la crédibilité de la victime, selon une appréciation des preuves qui sera discutée ci-après.</w:t>
      </w:r>
    </w:p>
    <w:p>
      <w:r>
        <w:t>- 35 -</w:t>
      </w:r>
    </w:p>
    <w:p>
      <w:r>
        <w:rPr>
          <w:b/>
        </w:rPr>
        <w:t>E. 5.3</w:t>
      </w:r>
    </w:p>
    <w:p>
      <w:r>
        <w:t>L’appelant conteste ensuite la prise en compte, à titre d’antécédents, des ordonnances pénales rendues les 7 septembre et 25 octobre 2017, qui seraient, selon lui, nulles. Par ordonnance pénale du 7 septembre 2017, le Ministère public de l'arrondissement du Nord vaudois a condamné N.________ pour injure et menaces à une peine privative de liberté de 60 jours et à une peine pécuniaire de 15 jours-amende. Par ordonnance pénale du 25 octobre 2017, il a en outre condamné N.________ pour vol et violation de domicile à une peine privative de liberté de 20 jours et à une amende de 300 francs. Le 18 octobre 2019, l'intéressé a formé opposition contre les deux ordonnances précitées. Il a exposé qu'il ignorait l'existence de ces deux procédures jusqu'au 8 octobre 2019, date de la consultation d'un dossier pénal subséquent. Par prononcé du 21 novembre 2019, confirmé par arrêt rendu le 11 décembre 2019 par la Chambre des recours pénale, le Tribunal de l'arrondissement de la Broye et du Nord vaudois a déclaré irrecevables les oppositions formées par N.________ contre les ordonnances pénales précitées, pour cause de tardiveté. Par arrêt du 6 avril 2020 (TF 6B_30/2020), la Cour de droit pénal du Tribunal fédéral a considéré que la cour cantonale avait violé le droit fédéral en confirmant la tardiveté des oppositions de l'intéressé et a renvoyé la cause au Tribunal de l'arrondissement de La Broye et du Nord vaudois pour reprise des procédures d'opposition. Il s'ensuit qu'il sera fait abstraction des condamnations en question dans la présente cause. Quoi qu’il en soit, comme on le verra ci-après, la suppression de ces deux condamnations du casier judiciaire ne change pas l’appréciation de la culpabilité ni la question de la révocation du sursis accordé le 26 avril 2016.</w:t>
      </w:r>
    </w:p>
    <w:p>
      <w:r>
        <w:rPr>
          <w:b/>
        </w:rPr>
        <w:t>E. 5.4</w:t>
      </w:r>
    </w:p>
    <w:p>
      <w:r>
        <w:t>L’appelant conteste les conclusions de l’expertise psychiatrique. On a toutefois déjà vu que la requête de seconde expertise devait être rejetée. De toute manière, l’appelant ne discute pas vraiment de la validité des conclusions, se contentant d’affirmer que le rapport du SMPP s’écarterait de l’avis des experts, ce qui est inexact, dès lors que ce rapport porte sur le suivi de la thérapie en détention et non sur les</w:t>
      </w:r>
    </w:p>
    <w:p>
      <w:r>
        <w:t>- 36 - éléments analysés par les experts (responsabilité pénale, risque de récidive, etc…).</w:t>
      </w:r>
    </w:p>
    <w:p>
      <w:r>
        <w:rPr>
          <w:b/>
        </w:rPr>
        <w:t>E. 5.5.1</w:t>
      </w:r>
    </w:p>
    <w:p>
      <w:r>
        <w:t>L’appelant conteste ensuite les faits relatés ci-dessus sous ch. 2.1 à 2.9, soit les violences et les agressions sexuelles commises au préjudice de la plaignante. Les premiers juges se seraient fondés à tort sur les déclarations de cette dernière, alors que les dépositions des témoins les contrediraient, que lesdites déclarations seraient en elles-mêmes contradictoires et, pour certaines, surprenantes. Pour l’appelant, il serait démontré que la plaignante aurait en réalité exagéré ses accusations pour se venger de lui, dès lors qu’elle avait subi les brimades du prévenu, (les coups et les injures sont admis), sa jalousie, sa toxicomanie, son alcoolisme et qu’il tardait à divorcer de son épouse pour elle. Elle aurait ainsi inventé les faits les plus graves. En outre, le témoin V.________ aurait menti.</w:t>
      </w:r>
    </w:p>
    <w:p>
      <w:r>
        <w:rPr>
          <w:b/>
        </w:rPr>
        <w:t>E. 5.5.2</w:t>
      </w:r>
    </w:p>
    <w:p>
      <w:r>
        <w:t>Les premiers juges se sont fondés sur plusieurs éléments pour se convaincre de la réalité des accusations de la plaignante, qui reposent également, pour une partie des faits, sur les dépositions de témoins ou d’une manière générale sur la violence physique ou verbale dont le prévenu admet lui-même avoir fait preuve. Ils ont détaillé leur conviction en pages 43 à 50 de leur jugement et leur appréciation est entièrement convaincante. La cour de céans la fait sienne. Comme souvent, le prévenu admet la violence la moins grave (gifles, bousculades et injures) manifestement pour réduire les conséquences pénales et c’est donc à bon droit que les premiers juges ont constaté que le prévenu, qui ne contestait pas avoir maltraité à plusieurs reprises la plaignante, rejetait les accusations les plus graves. La thèse, soutenue par la défense, de l’exagération des faits par la plaignante pour pouvoir rester en Suisse, ne résiste pas à l’examen. L’épouse du prévenu atteste de violences graves similaires que le prévenu ne conteste d’ailleurs pas (strangulation, menaces, insultes; cf. jugement, pp. 8 et 46). Le prévenu est décrit comme impulsif et colérique par son entourage et les experts psychiatres confirment cette impulsivité et une faible tolérance à la frustration.</w:t>
      </w:r>
    </w:p>
    <w:p>
      <w:r>
        <w:t>- 37 - Contrairement à ce que soutient le prévenu, le témoin V.________ est tout à fait crédible, dès lors qu'il s’agit d’un témoin neutre, qui ne connait pas les parties. Or, il a non seulement confirmé une partie des actes de violence, ayant dû intervenir lorsque le prévenu tentait d’étrangler la plaignante, mais il a également fourni des indices concernant l’accusation de contrainte sexuelle (jugement, p. 49). Comme l’ont retenu les premiers juges, il n’est pas possible que la plaignante ait imaginé la grave agression sexuelle du 27 juin 2018, alors que tous les autres faits de violence sont clairement établis. Le prévenu a d’ailleurs admis avoir été hors de lui ce jour-là (cf. P. 27, p. 3 verso ; P. 171, dans laquelle il confirme encore en p. 25 sa jalousie ce jour-là et en p. 26 sa violence [gifles et insultes]). C’est donc à juste titre que les faits décrits sous chiffre 2.1 à 2.9 du jugement ont été retenus. On ne discerne aucune violation de la présomption d’innocence.</w:t>
      </w:r>
    </w:p>
    <w:p>
      <w:r>
        <w:rPr>
          <w:b/>
        </w:rPr>
        <w:t>E. 6.1</w:t>
      </w:r>
    </w:p>
    <w:p>
      <w:r>
        <w:t>Le prévenu invoque encore une violation de l’art. 129 CP. Il conteste la réalisation de l’élément subjectif de cette infraction.</w:t>
      </w:r>
    </w:p>
    <w:p>
      <w:r>
        <w:rPr>
          <w:b/>
        </w:rPr>
        <w:t>E. 6.2</w:t>
      </w:r>
    </w:p>
    <w:p>
      <w:r>
        <w:t>L'article 129 CP réprime le comportement de celui qui, sans scrupules, aura mis autrui en danger de mort imminent.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1er mars 2004).</w:t>
      </w:r>
    </w:p>
    <w:p>
      <w:r>
        <w:t>- 38 -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 Petit commentaire, Code pénal, 2e éd., 2017, n. 14 ad art. 129 CP).</w:t>
      </w:r>
    </w:p>
    <w:p>
      <w:r>
        <w:rPr>
          <w:b/>
        </w:rPr>
        <w:t>E. 6.3</w:t>
      </w:r>
    </w:p>
    <w:p>
      <w:r>
        <w:t>Les premiers juges ont retenu que le prévenu avait commis des actes de strangulation au préjudice de la plaignante, avant de relâcher son étreinte, parce que la victime se débattait et qu’un tiers était intervenu. Il avait agi dans un excès de colère provoqué par la jalousie, en étant incapable de se contrôler. Conscient de la mise en danger entrainée par les actes de strangulation, il avait agi intentionnellement et sans scrupule. Cette motivation est adéquate : le fait de s’emporter avec une telle violence pour un motif aussi futile relève d’une absence de scrupule. Pour le reste, comme on l’a vu, c’est en vain que l’appelant conteste les faits et le caractère intentionnel de son comportement.</w:t>
      </w:r>
    </w:p>
    <w:p>
      <w:r>
        <w:rPr>
          <w:b/>
        </w:rPr>
        <w:t>E. 7</w:t>
      </w:r>
    </w:p>
    <w:p>
      <w:r>
        <w:t>L’appelant invoque ensuite une violation de l’art. 180 CP, mais s’écarte en vain de l’état de fait retenu dans le jugement, en soutenant qu’il n’était pas porteur d’un couteau.</w:t>
      </w:r>
    </w:p>
    <w:p>
      <w:r>
        <w:rPr>
          <w:b/>
        </w:rPr>
        <w:t>E. 8</w:t>
      </w:r>
    </w:p>
    <w:p>
      <w:r>
        <w:t>L’appelant fait encore valoir une violation de l’art. 189 CP, mais il revient en réalité sur l’appréciation des preuves s’agissant de l’agression sexuelle commise au préjudice de sa compagne, moyens qui ont déjà été rejetés, sans soulever de griefs relatifs à l’application de l’art. 189 CP.</w:t>
      </w:r>
    </w:p>
    <w:p>
      <w:r>
        <w:rPr>
          <w:b/>
        </w:rPr>
        <w:t>E. 9</w:t>
      </w:r>
    </w:p>
    <w:p>
      <w:r>
        <w:t>- 39 -</w:t>
      </w:r>
    </w:p>
    <w:p>
      <w:r>
        <w:rPr>
          <w:b/>
        </w:rPr>
        <w:t>E. 9.1</w:t>
      </w:r>
    </w:p>
    <w:p>
      <w:r>
        <w:t>L’appelant conteste encore sa condamnation pour séquestration. Il fait valoir que la plaignante n’était pas privée de sa liberté, puisqu’elle aurait pu quitter l’appartement par la porte donnant accès à la buanderie.</w:t>
      </w:r>
    </w:p>
    <w:p>
      <w:r>
        <w:rPr>
          <w:b/>
        </w:rPr>
        <w:t>E. 9.2</w:t>
      </w:r>
    </w:p>
    <w:p>
      <w:r>
        <w:t>Aux termes de l’art. 183 ch. 1 al. 1 CP, se rend coupable de séquestration, celui qui, sans droit, aura arrêté une personne, l'aura retenue prisonnière, ou l'aura, de toute autre manière, privée de sa liberté. La séquestration est la privation de la liberté de se déplacer physiquement. Une séquestration est contraire au droit lorsque des circonstances justificatives font défaut. Outre les motifs justificatifs légaux des art. 14 ss CP, des autorisations entre également en considération.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et une certaine durée mais les exigences à cet égard ne sont pas très élevées. Quelques minutes suffisent (ATF 128 IV 73 consid. 2a et les réf. citées, SJ 2002 I 511, JdT 2004 IV 120; TF 6B_637/2011 du 13 avril 2012 consid. 3.3.1).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et les réf. citées, SJ 2002 I 511, JdT 2004 IV 120). Il n’est donc pas nécessaire qu’une personne se fasse enfermer pour que l’art. 183 CP s’applique (Dupuis et</w:t>
      </w:r>
    </w:p>
    <w:p>
      <w:r>
        <w:t>- 40 - al., op. cit., n° 7 ad art. 183 CP et la réf. citée). Il suffit que le moyen soit propre à empêcher la victime de partir. Cette condition est remplie notamment si l’auteur fait croire à sa victime que la porte est fermée, alors que ce n’est pas le cas (op. cit., n° 9 ad art. 183 CP). L’infraction de séquestration au sens de l’art. 183 ch. 1 al. 1 CP doit toutefois être interprétée de manière restrictive. Elle vise les situations dans lesquelles des personnes sont totalement entravées dans l’exercice de leur liberté de mouvement (ATF 141 IV 10 consid. 4.4.1, JdT 2015 IV 233). La jurisprudence a notamment admis la réalisation d’une séquestration dans le cas d’une épouse qui ne pouvait pas quitter le domicile familial en raison des menaces de représailles de son conjoint (TF 6B_139/2013 du 20 juin 2013, consid. 2), d’une personne retenue prisonnière dans un appartement pendant 20 à 30 minutes (TF 6B_400/2012 du 15 novembre 2012), d’une autre qui avait été enfermée dans la buanderie (TF 6B_20/2012 du 29 mai 2012 consid. 1.3.5), d’une victime emmenée en voiture contre sa volonté (TF 6B_1064/2013 du 10 mars 2014 consid. 1), dans le cas d’une arrestation illégale fondée sur de fausses accusations (TF 6B_899/2013 du 17 mars 2014 consid. 3) et de l’arrestation, par le lésé, d’un suspect pris en flagrant délit, dans la mesure où elle durerait plus que le temps nécessaire à la police pour arriver sur les lieux (ATF 128 IV 73 consid. 2a, SJ 2002 I 511, JdT 2004 IV 120).</w:t>
      </w:r>
    </w:p>
    <w:p>
      <w:r>
        <w:rPr>
          <w:b/>
        </w:rPr>
        <w:t>E. 9.3</w:t>
      </w:r>
    </w:p>
    <w:p>
      <w:r>
        <w:t>A nouveau, l’appelant s’écarte en vain de l’état de fait du jugement, lorsqu’il soutient avoir fermé la porte sans réfléchir ou encore que le téléphone dont il a privé la plaignante appartenait aux deux. Les premiers juges ont retenu que, dans le contexte de violences verbales, physiques et sexuelles déjà décrit, le prévenu avait enfermé la plaignante, le 11 juillet 2018, dans l’appartement, dans le but d’asseoir sa domination sur la victime et pour la faire fléchir dans sa décision de se séparer. Cette appréciation est adéquate et peut être partagée. Le prévenu a donc intentionnellement privé de liberté la plaignante. Celle-ci a du reste été finalement libérée, ensuite de</w:t>
      </w:r>
    </w:p>
    <w:p>
      <w:r>
        <w:t>- 41 - l’intervention de la police, en descendant le long de la façade (jugement, p. 43). La condamnation pour séquestration doit ainsi être confirmée.</w:t>
      </w:r>
    </w:p>
    <w:p>
      <w:r>
        <w:rPr>
          <w:b/>
        </w:rPr>
        <w:t>E. 10.1</w:t>
      </w:r>
    </w:p>
    <w:p>
      <w:r>
        <w:t>La peine n’est contestée par l'appelant qu’en relation avec l’admission de ses griefs, hypothèse qui n’est en l’espèce pas réalisée. Le parquet demande dans son appel joint que la peine soit portée à 7,5 ans.</w:t>
      </w:r>
    </w:p>
    <w:p>
      <w:r>
        <w:rPr>
          <w:b/>
        </w:rPr>
        <w:t>E. 10.2.1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t>- 42 -</w:t>
      </w:r>
    </w:p>
    <w:p>
      <w:r>
        <w:rPr>
          <w:b/>
        </w:rPr>
        <w:t>E. 10.2.2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w:t>
      </w:r>
    </w:p>
    <w:p>
      <w:r>
        <w:rPr>
          <w:b/>
        </w:rPr>
        <w:t>E. 10.2.3</w:t>
      </w:r>
    </w:p>
    <w:p>
      <w:r>
        <w:t>Dans sa nouvelle teneur depuis le 1er janvier 2018, si la peine révoquée et la nouvelle peine sont du même genre (ATF 145 IV 1 consid.</w:t>
      </w:r>
    </w:p>
    <w:p>
      <w:r>
        <w:t>- 43 - 1.2 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10.3</w:t>
      </w:r>
    </w:p>
    <w:p>
      <w:r>
        <w:t>En l'occurrence, la culpabilité de N.________ est très lourde. Pendant plusieurs mois, le prévenu a maltraité sa compagne, par des actes de plus en plus graves. Il a agi à réitérées reprises à son encontre, en portante atteinte à son intégrité physique, psychique et sexuelle, à sa liberté de décision et d’action, en usant de la force et en faisant preuve de mépris. Le prévenu a agi de façon égoïste et lâche. Possessif et jaloux, il a soumis la victime à de multiples humiliations, à des contrôles et à des actes dégradants pour s'assurer qu’elle ne lui échappait pas. En outre, il n'a pas hésité à lui imposer des actes sexuels abjects, jusqu'à la faire vomir, dans l'unique but d'assoir sa domination et d'anéantir sa liberté de décision. A cela s'ajoute que le prévenu avait également maltraité son épouse, à réitérées reprises. Il persiste à la blâmer ou à tenter de justifier son comportement par la prétendue volonté de sa compagne de vouloir obtenir un permis d'établissement. Or rien dans les agissements de sa compagne ne justifiait l’escalade de violence dont il a fait preuve. Seule son arrestation a mis fin à ses actes délictueux. Le prévenu ne s'est pas</w:t>
      </w:r>
    </w:p>
    <w:p>
      <w:r>
        <w:t>- 44 - contenté d'alterner les violences verbale, psychique et sexuelle envers sa compagne, il l'a également accusée faussement devant la police dans le cadre de l’accident de circulation routière survenu le 20 juin 2018. Le prévenu a en outre commis plusieurs infractions à la loi fédérale sur la circulation routière et a notamment conduit sans permis, sous l’effet de l’alcool et de stupéfiants, mettant en danger les autres usagers de la route. Il banalise ses agissements et ne donne pas l'impression d’avoir pris conscience de la gravité de ses actes, d'autant qu'il persister à nier les faits les plus graves. Il n'éprouve ni remords, ni empathie face à la victime. Ses nombreux antécédents dans divers domaines témoignent d'une incapacité à respecter autrui ou la loi. En raison d’une très légère diminution de responsabilité, pour les infractions commises au préjudice de la plaignante, mais qui sont de loin les plus graves, la culpabilité du prévenu, de très lourde, doit être considérée comme lourde. Il y a concours d’infractions. L’infraction la plus grave est celle de la contrainte sexuelle aggravée, dont la peine minimale est de 3 ans de privation de liberté. Pour des motifs de prévention spéciale reposant sur les antécédents du prévenu, les crimes et délits doivent être punis d’une peine privative de liberté, sous réserve de l'infraction d'injure. La contrainte sexuelle jusqu’aux vomissements de la victime est très grave et doit valoir au prévenu une peine privative de liberté de 4 ans tenant compte de la responsabilité diminuée. Par l'effet du concours, elle doit être augmentée de 8 mois pour la tentative de mise en danger de la vie, de 3 mois pour la séquestration, de 3 mois pour les lésions corporelles, de 2 mois pour les dommages à la propriété, de 2 mois pour les menaces qualifiées, de 2 mois pour la contrainte et de 2 mois pour la dénonciation calomnieuse. Le concours avec les infractions à la LCR, soit la conduite en état d’ébriété, l’entrave aux mesures LCR, la conduite en incapacité et la conduite sans permis, qui doivent être réprimées par une peine privative de liberté en raison des récidives innombrables dans ce domaine, soit une peine privative d'un mois pour chacune des infractions, de gravité égale, a pour effet de porter la peine à 74 mois, soit 6 ans et 2 mois.</w:t>
      </w:r>
    </w:p>
    <w:p>
      <w:r>
        <w:t>- 45 - A cela s'ajoute encore une aggravation de la peine de l'ordre de 4 mois pour tenir compte de la révocation du sursis à la peine de 6 mois prononcée par le Ministère public de l'arrondissement du Nord vaudois le 26 avril 2016, l’appelant ayant récidivé durant le délai d’épreuve de quatre ans, prolongé de deux ans, et ayant déjà été averti à deux reprises s’agissant de ce sursis. En définitive, c'est à juste titre que les premiers juges ont fixé la peine d'ensemble à 6,5 ans, soit 78 mois, de peine privative de liberté.</w:t>
      </w:r>
    </w:p>
    <w:p>
      <w:r>
        <w:rPr>
          <w:b/>
        </w:rPr>
        <w:t>E. 11.1</w:t>
      </w:r>
    </w:p>
    <w:p>
      <w:r>
        <w:t>L’appelant conteste enfin son expulsion du territoire suisse pour une durée de 7 ans. Il se prévaut en particulier de la relation très forte qu’il a avec ses enfants.</w:t>
      </w:r>
    </w:p>
    <w:p>
      <w:r>
        <w:rPr>
          <w:b/>
        </w:rPr>
        <w:t>E. 11.2.1</w:t>
      </w:r>
    </w:p>
    <w:p>
      <w:r>
        <w:t>Selon l'art. 66a al. 1 let. c et h CP, le juge expulse de Suisse l'étranger qui est condamné notamment pour mise en danger de la vie d'autrui (art. 129) et contrainte sexuelle (art. 189),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w:t>
      </w:r>
    </w:p>
    <w:p>
      <w:r>
        <w:t>- 46 -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11.2.2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w:t>
      </w:r>
    </w:p>
    <w:p>
      <w:r>
        <w:t>- 47 -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0.1019) (TF 6B_704/2019 du 28 juin 2019 consid. 1.3 et les arrêts cités).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w:t>
      </w:r>
    </w:p>
    <w:p>
      <w:r>
        <w:t>- 48 - d'autres et en n'accordant qu'un faible poids aux années passées en Suisse dans l'illégalité, en prison ou au bénéfice d'une simple tolérance (TF 6B_704/2019 du 28 juin 2019 consid. 1.3 et les arrêts cités).</w:t>
      </w:r>
    </w:p>
    <w:p>
      <w:r>
        <w:rPr>
          <w:b/>
        </w:rPr>
        <w:t>E. 11.2.3</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w:t>
      </w:r>
    </w:p>
    <w:p>
      <w:r>
        <w:t>- 49 - plus rigoureuse sera l’appréciation du risque (Perrier Depeursinge, op. cit., p. 402 et les réf. citées).</w:t>
      </w:r>
    </w:p>
    <w:p>
      <w:r>
        <w:rPr>
          <w:b/>
        </w:rPr>
        <w:t>E. 11.3</w:t>
      </w:r>
    </w:p>
    <w:p>
      <w:r>
        <w:t>En l'espèce, le prévenu a commis des infractions qui tombent sous le coup de l'art. 66a al. 1 let. b et h CP. Il remplit donc les conditions d'une expulsion, sous la réserve d'une application de l'art. 66a al. 2 CP ou du droit international. Ressortissant italien, le prévenu est âgé de 36 ans. Il est né en Suisse, où il a grandi, été scolarisé et où il a travaillé. Son père et sa mère vivent en Suisse, ainsi que ses frères. Le prévenu est marié à une épouse qui vit en Suisse. Il est père de deux enfants qui résident également en Suisse et qui lui rendent régulièrement visite en prison, accompagnés de son épouse et de sa mère. A ses dires, sa seule famille dans son pays d’origine serait sa grand-mère mourante qui vit en Sicile. En premier lieu, on relève que, dans la pesée des intérêts, il y a lieu de tenir compte du fait que les infractions commises par le prévenu, qui s’est notamment rendu coupable de contrainte sexuelle aggravée au préjudice de sa compagne, sont particulièrement graves et de nature à mettre en péril la sécurité publique. L'ampleur des concours montre également que le prévenu est prêt à s’attaquer à tous les biens juridiquement protégés. Ses antécédents sont aussi très mauvais. En outre, à dires d’expert, il existe un risque de récidive concret pour des violences verbales, physiques et sexuelles sur ses futures compagnes. Ainsi, l’intérêt public à l’expulsion du prévenu est très important. Quand bien même le prévenu a passé toute sa vie en Suisse, son intégration professionnelle, économique et sociale est des plus médiocres. Il n’a pas eu d’emplois fixes durant une longue période. Depuis plusieurs mois avant son incarcération, il bénéficiait de l’aide sociale. Il est en outre criblé de dettes. Avant sa détention, il ne versait aucune contribution d’entretien pour ses enfants. Il semble certes avoir une bonne relation avec ceux-ci. Toutefois, avant son incarcération, il ne voyait que peu, voire plus du tout, ses enfants, accusant la plaignante d'en être</w:t>
      </w:r>
    </w:p>
    <w:p>
      <w:r>
        <w:t>- 50 - responsable. Cela étant, si le besoin de relations avec ses enfants ne peut évidemment pas être nié, il faut constater que le prévenu doit de toute manière être encore durablement détenu et que d’ici à sa libération ses enfants auront encore grandi. Sur le plan conjugal, si le prévenu a indiqué à l'audience d'appel qu'il avait renoué une relation sentimentale avec son épouse, on ne peut toutefois que constater que cela contraste avec les déclarations de cette dernière aux débats de première instance, son épouse ayant fait savoir qu’elle n’envisageait pas une reprise de la vie commune avec lui. D’un autre côté, les perspectives de réintégration de N.________ en Italie, pays limitrophe, sont bonnes, dès lors que celui-ci ne rencontrera vraisemblablement pas davantage de difficultés de réinsertion dans ce pays qu’à sa sortie de prison en Suisse. Il parle suffisamment l'italien et possède en Sicile encore une grand-mère. En outre, une réintégration professionnelle en Italie paraît envisageable, dès lors qu’il pourra sans doute y reprendre une activité similaire à celle qu’il exerçait en Suisse comme étancheur. Il pourra par ailleurs conserver des contacts avec ses enfants, que ce soit par l’intermédiaire des moyens de communication modernes ou pendant les vacances de ces derniers. N.________ ne s’expose donc pas à une situation personnelle grave en cas de renvoi dans son pays d’origine, qui offre des conditions d’existence décentes, et l’exercice de son droit au respect de sa vie privée et familiale ne paraît pas compromis. En définitive, malgré la présence en Suisse de deux enfants mineurs, et compte tenu de la gravité des actes pour lesquels il est condamné, du risque effectif de récidive et de ses perspectives de réinsertion en Italie, l’intérêt public à l’éloignement de l’intéressé l’emporte sur l’intérêt privé de celui-ci à demeurer en Suisse. Ainsi, il n’y a pas lieu de faire application de la clause de rigueur. Enfin, au regard de la gravité des infractions en cause, portant atteinte à des biens juridiques importants tels que l’intégrité sexuelle, et du risque de récidive effectif, force est de constater que le prévenu fait</w:t>
      </w:r>
    </w:p>
    <w:p>
      <w:r>
        <w:t>- 51 - encourir une menace réelle et d’une gravité certaine à de potentielles victimes et, partant, à l’ordre public suisse. L’ALCP ne fait donc pas obstacle à une expulsion de N.________. La mesure prononcée par les premiers juges doit donc être confirmée, tout comme sa durée de 7 ans, proportionnée. IV. Conclusion En définitive, le recours de Me Regina Andrade Ortuno, ainsi que l'appel et l'appel joint, doivent être rejetés. La détention subie par N.________ depuis le jugement de première instance sera déduite (art. 51 CP). Pour garantir l’exécution de sa peine et compte tenu du risque de récidive qu’il présente, le maintien en détention de l’intéressé à titre de sûreté sera ordonné. Au vu de la liste d'opérations produite par Me Regina Andrade Ortuno, dont il n'y a pas lieu de s'écarter, c'est une indemnité de 5'381 fr. 90, TVA et débours inclus, qu'il convient de lui allouer pour la procédure d'appel. Au vu de la liste d'opérations produite par Me Manuela Ryter Godel, dont il n'y a pas lieu de s'écarter, c'est une indemnité de 1'068 fr. 65, TVA et débours inclus, qu'il convient de lui allouer pour la procédure d'appel. Vu l’issue de la cause, les frais d'appel, par 11'110 fr. 55, constitués de l'émolument de jugement (art. 21 al. 1 et 2 TFIP [Tarif des frais de procédure et indemnités en matière pénale du 28 septembre 2010 ; RSV 312.03.1]), par 4'660 fr., de l’indemnité allouée à son défenseur d’office, par 5'381 fr. 90, et de l'indemnité allouée au conseil d'office d'O.________, par 1'068 fr. 65, seront mis par deux tiers à la charge de N.________, le solde étant laissé à la charge de l’Etat.</w:t>
      </w:r>
    </w:p>
    <w:p>
      <w:r>
        <w:t>- 52 - Les frais afférents au recours de Me Regina Andrade Ortuno, arrêtés à 330 fr. et déduits de l’émolument du jugement d’appel, seront mis à sa charge. N.________ ne sera tenu de rembourser à l’Etat les deux tiers du montant des indemnités en faveur des conseil et défenseur d’office que lorsque sa situation financière le permettra. La Cour d’appel pénale, appliquant les art. 19 al. 2, 34, 40, 46 al. 1, 47, 49 al. 1, 63, 66a al. 1 let. b et h, 103, 106, 123 ch. 1 et 2 al. 5, 22 al. 1 ad 129, 144 al. 1, 177 al. 1, 180 al. 1 et 2 let. b, 181, 183 ch. 1, 189 al. 1 et 3, 303 ch. 1 CP, 90 al. 1, 91a al. 1, 91 al. 1 let. a, 91 al, 2 let. b, 95 al. 1 let. a, 98 let. c LCR, 19a ch. 1 LStup et 135 al. 1, 398 ss CPP, prononce : I. L’appel est rejeté. II. L'appel joint est rejeté. III. Le recours de Me Regina Andrade Ortuno est rejeté. IV. Le jugement rendu le 30 octobre 2019 par le Tribunal criminel de l'arrondissement de La Broye et du Nord vaudois est confirmé selon le dispositif suivant :</w:t>
      </w:r>
    </w:p>
    <w:p>
      <w:r>
        <w:t>- 53 - "I. libère N.________ des chefs de prévention de voies de fait qualifiées, de tentative de lésions corporelles simples qualifiées, de mise en danger de la vie d’autrui, de calomnie, de diffamation, de tentative de contrainte sexuelle et de contrainte sexuelle; II. constate que N.________ s’est rendu coupable de lésions corporelles simples qualifiées, de tentative de mise en danger de la vie d’autrui, de dommages à la propriété, d’injure, de menaces qualifiées, de contrainte, de séquestration, de contrainte sexuelle aggravée, de dénonciation calomnieuse, de violation simple des règles de la circulation routière, d’entrave aux mesures de constatation de l’incapacité de conduire, de conduite d’un véhicule automobile en état d’ébriété, de conduite d’un véhicule automobile malgré une incapacité de conduire, de conduite d’un véhicule automobile sans autorisation, de défaut d’annonce à la police d’un signal routier endommagé et de contravention à la loi fédérale sur les stupéfiants; III. révoque le sursis assortissant la peine privative de liberté prononcée le 26 avril 2016 par le Ministère public de l’arrondissement du Nord vaudois et condamne N.________ à une peine privative de liberté d’ensemble de 78 (septante- huit) mois, sous déduction de 474 (quatre cent septante- quatre) jours de détention avant jugement à la date du 29 octobre 2019, peine comprenant la révocation du sursis accordé le 26 avril 2016; IV. condamne N.________ à une peine pécuniaire de 30 (trente) jours-amende, le montant du jour-amende étant fixé à 30 (trente) francs; V. condamne en outre N.________ à une amende de 1'000 fr. (mille francs) convertible en 10 (dix) jours de peine privative de liberté de substitution en cas de non-paiement fautif; VI. constate que N.________ a subi 27 (vingt-sept) jours de détention dans des conditions de détention provisoire illicites et ordonne que 14 (quatorze) jours de détention soient déduits</w:t>
      </w:r>
    </w:p>
    <w:p>
      <w:r>
        <w:t>- 54 - de la peine privative de liberté fixée sous chiffre III, à titre de réparation du tort moral; VII. ordonne que N.________ soit soumis à un traitement psychothérapeutique ambulatoire en application de l’art. 63 CP, centré sur les aspects dysfonctionnels de sa personnalité, notamment sur ses failles narcissiques et ses difficultés interpersonnelles, auprès du Service de médecine et psychiatrie pénitentiaires, en détention; VIII. ordonne l’expulsion du territoire suisse de N.________ pour une durée de 7 (sept) ans; IX. ordonne le maintien en détention de N.________ pour des motifs de sûreté pour garantir l’exécution de la peine et de l’expulsion pénale; X. dit que N.________ est le débiteur d’O.________ et lui doit immédiat paiement de la somme de 18'000 fr. (dix-huit mille francs), avec intérêts à 5% l’an dès le 15 avril 2018, à titre de réparation du tort moral, et donne acte à O.________ de ses réserves civiles pour le surplus; XI. arrête l’indemnité de conseil juridique gratuit allouée à l’avocate Manuela Ryter Godel à 13'179 fr. 25 (treize mille cent septante-neuf francs et vingt-cinq centimes), TVA et débours compris; XII. arrête l’indemnité de défenseur d’office allouée à l’avocate Regina Andrade Ortuno à 23'504 fr. 90 (vingt-trois mille cinq cent quatre francs et nonante centimes), TVA et débours compris, dont à déduire une avance de 6'000 (six mille francs) et une avance de 3'000 fr. (trois mille francs); XIII. met les frais de la cause, par 65'526 fr. (soixante-cinq mille cinq cent vingt-six francs) à la charge de N.________, ce montant comprenant l’indemnité de défense d’office allouée à son défenseur d’office, ainsi que l’indemnité allouée au conseil juridique gratuit de la partie plaignante; XIV. dit que les indemnités de défense d’office et de conseil juridique gratuit allouées sous chiffres XI et XII sont</w:t>
      </w:r>
    </w:p>
    <w:p>
      <w:r>
        <w:t>- 55 - remboursables à l’Etat de Vaud par le condamné dès que sa situation financière le permettra." V. La détention subie depuis le jugement de première instance est déduite. VI. Le maintien en détention de N.________ à titre de sûreté est ordonné. VII. Une indemnité de défenseur d'office pour la procédure d'appel d'un montant de 5'381 fr. 90, TVA et débours inclus, est allouée à Me Regina Andrade Ortuno. VIII. Une indemnité de défenseur d'office pour la procédure d'appel d'un montant de 1'068 fr. 65, TVA et débours inclus, est allouée à Me Manuela Ryter Godel. IX. Les frais d'appel, par 11'110 fr. 55, y compris les indemnités allouées aux défenseur et conseil d'office, sont mis par deux tiers à la charge de N.________, le solde étant laissé à la charge de l’Etat. Les frais afférents au recours de Me Regina Andrade Ortuno, arrêtés à 330 fr. et déduits de l’émolument du jugement d’appel, sont mis à sa charge. X. N.________ ne sera tenu de rembourser à l’Etat les deux tiers du montant des indemnités en faveur des conseil et défenseur d’office prévues aux ch. VII et VIII ci-dessus que lorsque sa situation financière le permettra. Le président : La greffière :</w:t>
      </w:r>
    </w:p>
    <w:p>
      <w:r>
        <w:t>- 56 - Du Le jugement qui précède, dont le dispositif a été communiqué par écrit aux intéressés le 11 mai 2020, est notifié, par l'envoi d'une copie complète, à : - Me Regina Andrade Ortuno, avocate (pour elle-même et pour N.________), - Me Manuela Ryter Godel , avocat (pour O.________ ), - Ministère public central, et communiqué à : - Mme la Présidente du Tribunal criminel de l'arrondissement de La Broye et du Nord vaudois, - Mme la Procureure de l'arrondissement du Nord vaudois,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w:t>
      </w:r>
    </w:p>
    <w:p>
      <w:r>
        <w:t>- 57 -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