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PE18.013620 vom 24. August 2022</w:t>
      </w:r>
    </w:p>
    <w:p>
      <w:r>
        <w:t>VD Tribunal cantonal, 2022-08-24, FR</w:t>
      </w:r>
    </w:p>
    <w:p>
      <w:r>
        <w:rPr>
          <w:b/>
        </w:rPr>
        <w:t xml:space="preserve">Quelle: </w:t>
      </w:r>
      <w:r>
        <w:t>https://mcp.opencaselaw.ch/entscheid/vd_gerichte_PE18.013620</w:t>
      </w:r>
    </w:p>
    <w:p>
      <w:r>
        <w:t>FR: VD_GERICHTE PE18.013620 du 24 août 2022</w:t>
      </w:r>
    </w:p>
    <w:p>
      <w:r>
        <w:t>IT: VD_GERICHTE PE18.013620 del 24 agosto 2022</w:t>
      </w:r>
    </w:p>
    <w:p>
      <w:pPr>
        <w:pStyle w:val="Heading2"/>
      </w:pPr>
      <w:r>
        <w:t>Erwägungen</w:t>
      </w:r>
    </w:p>
    <w:p>
      <w:r>
        <w:rPr>
          <w:b/>
        </w:rPr>
        <w:t>E. 3.1</w:t>
      </w:r>
    </w:p>
    <w:p>
      <w:r>
        <w:t>Invoquant une violation du principe in dubio pro duriore, le recourant fait valoir qu’une violation des règles de l’art ne pourrait aucunement être exclue à ce stade de la procédure avec une vraisemblance confinant à la certitude. Il soutient au contraire que vu les conclusions des experts et compte tenu de la jurisprudence et de l’ensemble des circonstances du cas d’espèce, une violation des règles de l’art semblerait bien plutôt devoir être imputée aux médecins et</w:t>
      </w:r>
    </w:p>
    <w:p>
      <w:r>
        <w:t>- 13 - radiologues du L.________. Il fait en particulier valoir que les actes reprochés aux médecins du L.________ auraient conduit à l’amputation totale de sa jambe gauche, alors que sans les manquements identifiés, la racine de sa cuisse aurait pu être préservée. Il reproche au Ministère public d’avoir retenu que les médecins n’avaient pas respecté les bonnes pratiques cliniques, mais d’avoir exclu toute violation des règles de l’art médical au motif qu’il n’existerait pas de guidelines pour la situation médicale dans laquelle il se trouvait, et soutient que les experts auraient au contraire mentionné plusieurs références doctrinales précises récentes faisant état des investigations à réaliser en présence d’une telle maladie. Se référant à la jurisprudence du Tribunal fédéral, il fait au demeurant valoir que l’absence de guidelines quant à sa situation spécifique ne permettrait pas à elle seule d’exclure une violation des règles de l’art par les médecins et radiologues du L.________.</w:t>
      </w:r>
    </w:p>
    <w:p>
      <w:r>
        <w:rPr>
          <w:b/>
        </w:rPr>
        <w:t>E. 3.2.1</w:t>
      </w:r>
    </w:p>
    <w:p>
      <w:r>
        <w:t>Celui qui, par négligence, aura fait subir à une personne une atteinte à l'intégrité corporelle ou à la santé sera, sur plainte, puni d'une peine privative de liberté de trois ans au plus ou d'une peine pécuniaire (art. 125 al. 1 CP [Code pénal suisse du 21 décembre 1937 ; RS 311.0]).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6B_907/2021 du 24 novembre 2021 consid. 1.2 ; TF 6B_390/2018 du 25 juillet 2018 consid. 5.1).</w:t>
      </w:r>
    </w:p>
    <w:p>
      <w:r>
        <w:t>- 14 -</w:t>
      </w:r>
    </w:p>
    <w:p>
      <w:r>
        <w:rPr>
          <w:b/>
        </w:rPr>
        <w:t>E. 3.2.2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références citées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arrêts cités).</w:t>
      </w:r>
    </w:p>
    <w:p>
      <w:r>
        <w:t>- 15 -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JdT 2004 I 497 ; TF 6B_1287/2018 du 11 mars 2019 consid. 1.1).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précité ; TF 6B_1287/2018 précité). Les règles de l'art médical constituent des principes établis par la science médicale, généralement reconnus et admis, communément</w:t>
      </w:r>
    </w:p>
    <w:p>
      <w:r>
        <w:t>- 16 - suivis et appliqués par les praticiens (ATF 133 III 121 consid. 3.1 ; TF 6B_999/2015 et 6B_1003/2015 du 28 septembre 2016 consid. 5.1). Savoir si le médecin a violé son devoir de diligence est une question de droit ; dire s'il existe une règle professionnelle communément admise, quel était l'état du patient et comment l'acte médical s'est déroulé relève du fait (ATF 133 III 121 précité ; TF 6B_999/2015 et 6B_1003/2015 précités). Dans les arrêts 6B_999/2015 et 6B_1003/2015 susmentionnés, après avoir relevé que l’expert avait réduit la portée de la notion juridique de « règles de l’art » à la seule existence de guidelines (internes à l’hôpital, nationales ou internationales) et que ce n’était que sous cet angle qu’il considérait qu’on ne pouvait pas reprocher aux recourantes d’avoir violé des directives, dans la mesure où ces dernières faisaient défaut, le Tribunal fédéral a retenu que l’absence de guidelines imposant une procédure à suivre ne suffisait pas pour retenir l’absence de règles de l’art (consid. 5.5).</w:t>
      </w:r>
    </w:p>
    <w:p>
      <w:r>
        <w:rPr>
          <w:b/>
        </w:rPr>
        <w:t>E. 3.2.3</w:t>
      </w:r>
    </w:p>
    <w:p>
      <w:r>
        <w:t>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w:t>
      </w:r>
    </w:p>
    <w:p>
      <w:r>
        <w:t>- 17 -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précité consid. 4.4.2 et les arrêts cités ; TF 6B_568/2021 du 11 mars 2022 consid. 3.1).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du patient (au moment des décisions prises, respectivement omises). Par ailleurs, c'est au stade de l'examen de la causalité adéquate qu'il faut se placer ex ante pour décider si un acte était propre à produire ou à favoriser un résultat du genre de celui qui s'est produit (ATF 135 IV 56 consid. 2.2 et les références citées). En revanche, une autre question essentielle pour l'imputation du résultat, savoir quel est le danger qui a provoqué le résultat ou si le danger créé ou accru par l'auteur s'est réalisé dans le résultat, doit être traitée en fonction de toutes les circonstances connues ex post (ATF 135 IV 56 précité et les références citées).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w:t>
      </w:r>
    </w:p>
    <w:p>
      <w:r>
        <w:t>- 18 - faut appliquer les concepts généraux de la causalité naturelle et de la causalité adéquate (ATF 134 IV 255 précité consid. 4.4.1 ; TF 6B_388/2020 et 6B_392/2020 du 30 septembre 2021 consid. 4.1.4 ; TF 6B_400/2020 précité).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et 6B_392/2020 précités ; TF 6B_400/2020 précité ; TF 6B_364/2020 du 26 juin 2020 consid. 6.1 et les références citées).</w:t>
      </w:r>
    </w:p>
    <w:p>
      <w:r>
        <w:rPr>
          <w:b/>
        </w:rPr>
        <w:t>E. 3.3</w:t>
      </w:r>
    </w:p>
    <w:p>
      <w:r>
        <w:t>Dans ses déterminations du 27 juillet 2022, le Ministère public a relevé que, contrairement à la jurisprudence citée par le recourant, la maladie dont il était question en l’espèce était à ce point rare que l’expérience et les connaissances médicales n’avaient pas permis d’établir de quelconques règles à respecter en la matière. Il a relevé que l’article auquel se référait le recourant était non seulement isolé, mais surtout postérieur à la présente affaire et a ajouté que les experts ne s’étaient pas limités en l’espèce à souligner l’absence de guidelines, mais également l’« absence de médecine basée sur des évidences ou des preuves ». Ainsi, dans ce contexte, même s’ils avaient avancé qu’« une IRM de la cuisse préopératoire aurait été indiquée », on comprenait aisément que l’absence de règles de l’art était due à la connaissance scientifique insuffisante de ces cas très rares et de leur prise en charge. Le procureur a observé que les experts avaient d’ailleurs souligné dans leur complément d’expertise qu’on ne pouvait qualifier les actes des médecins du L.________ de violation des règles de l’art, mais de prise en charge insuffisante, précisant qu’ils avaient en outre insisté en conclusion pour rappeler qu’une concertation multidisciplinaire avant l’opération aurait été – seulement – « souhaitable ». Selon le Ministère public, en pareil contexte, il paraissait établi que les connaissances de la médecine étaient à ce jour insuffisantes pour poser de quelconques règles susceptibles de garantir une meilleure prise en charge de ces cas rares. Ainsi, même si, a</w:t>
      </w:r>
    </w:p>
    <w:p>
      <w:r>
        <w:t>- 19 - posteriori, les experts estimaient que la prise en charge n’était pas idéale, on ne discernait pas comment un tribunal pourrait aboutir à une condamnation en pareilles conditions. En l’espèce, quand bien même ils ont conclu à l’absence de violation des règles de l’art, les experts ont considéré que les investigations entreprises par les médecins du L.________ n’étaient pas conformes aux bonnes pratiques cliniques, relevant en particulier que la technique choisie n’était pas adéquate pour la prise en charge d’une tumeur maligne et que l’intervention d’enclouage avait été nuisible au patient en contribuant à la dissémination des cellules cancéreuses. Ils ont estimé que les médecins et radiologues du L.________ auraient pu suspecter une tumeur maligne compte tenu de l’histoire du patient et de l’aspect radiologique de l’os fracturé et ont indiqué qu’une co- responsabilité de ces derniers devait être vivement considérée dans cette prise en charge. Dans leur rapport complémentaire, les experts ont estimé qu’une lecture attentive de l’imagerie aurait dû aboutir à la conclusion que des examens complémentaires étaient nécessaires, précisant qu’une discussion pluridisciplinaire radio-orthopédique et éventuellement oncologique aurait été nécessaire avant la prise en charge chirurgicale. Ainsi, bien qu’ils aient démontré une volonté de ne pas accabler leurs confrères vu la complexité du cas du recourant, qui n’est pas contestée, les experts ont néanmoins mis en évidence l’existence de principes établis par la science médicale. Il ressort en effet de l’expertise et de son complément qu’il existait bel et bien des recommandations pour le traitement de l’affection dont souffrait le recourant, en dépit de son caractère particulièrement spécifique. S’il est vrai que l’article doctrinal cité par les experts est légèrement postérieur aux événements litigieux, il n’en demeure pas moins que d’autres articles antérieurs à la prise en charge du recourant, datant de 1994, 2013, 2014 et 2016, sont également cités par les experts à l’appui de leurs conclusions, de sorte qu’on ne saurait retenir à ce stade que l’article en cause serait isolé et que les connaissances médicales au moment des faits auraient été insuffisantes. Dans son audition, le DrP.________ a du reste été en mesure de décrire en détail la procédure à suivre en présence d’un sarcome du type de celui du</w:t>
      </w:r>
    </w:p>
    <w:p>
      <w:r>
        <w:t>- 20 - recourant, et la Dre R.________ a précisément exposé les examens qu’elle aurait entrepris à l’époque des faits si elle avait eu connaissance de toutes les informations anamnestiques utiles. Au demeurant, comme le relève à bon escient le recourant, s’il est vrai que l’atteinte à la santé dont il souffrait était très rare, il n’en demeure pas moins qu’on ne peut réduire la portée de la notion de « règles de l’art » à l’existence de guidelines, la jurisprudence du Tribunal fédéral s’appliquant indépendamment de l’affection en cause. Avec les experts, il y a lieu de retenir que la prise en charge du recourant au L.________ a été défaillante et que des examens complémentaires et une discussion pluridisciplinaire étaient nécessaires avant la prise en charge chirurgicale, le laps de temps entre l’admission du recourant aux urgences et la chirurgie ayant au demeurant pu permettre d’effectuer ces examens. Or, on ne peut pas exclure à ce stade que ces omissions constituent des violations des règles de l’art. Ces omissions peuvent en outre être mises en relation de causalité adéquate avec l’atteinte subie par le recourant, dès lors que les experts ont estimé qu’un diagnostic avant l’intervention chirurgicale aurait permis d’éviter une désarticulation de la hanche et de préserver la racine de la cuisse, ce qui lui aurait laissé une plus grande mobilité (cf. P. 42, p. 5, question 10 b). Compte tenu de ce qui précède, on ne saurait conclure à ce stade qu’aucune violation des règles de l’art ne peut être reprochée aux médecins et radiologues du L.________. Il incombera au Ministère public de déterminer pour quelle raison ceux-ci n’ont pas été en mesure de poser le diagnostic de fibrosarcome avant de procéder à l’intervention chirurgicale par enclouage centromédullaire, notamment en donnant suite aux réquisitions de preuves du recourant tendant à la production de la demande ayant conduit à la réalisation du scanner du 23 mars 2018 et à sa transmission aux experts afin qu’ils répondent à la question 2e qui leur avait été soumise dans le cadre de la mise en œuvre du complément d’expertise, ainsi qu’en procédant au besoin à l’audition du Dr S.________, ainsi qu’à une nouvelle audition sur ce point particulier des Drs P.________, K.________ et R.________. Il lui appartiendra en outre d’ordonner la</w:t>
      </w:r>
    </w:p>
    <w:p>
      <w:r>
        <w:t>- 21 - production de l’intégralité des articles de doctrine médicale ayant servi de fondement à l’expertise du 28 octobre 2020 et au complément d’expertise du 17 décembre 2021, dont notamment les articles cités en page 3 du rapport d’expertise.</w:t>
      </w:r>
    </w:p>
    <w:p>
      <w:r>
        <w:rPr>
          <w:b/>
        </w:rPr>
        <w:t>E. 4</w:t>
      </w:r>
    </w:p>
    <w:p>
      <w:r>
        <w:t>En définitive, le recours doit être admis, l’ordonnance entreprise annulée et le dossier de la cause renvoyé au Ministère public central, division affaires spéciales, pour qu’il poursuive l’instruction dans le sens du considérant qui précède. Vu l’admission du recours, les frais de la procédure, constitués en l’espèce du seul émolument d'arrêt, par 2’090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de la part de l’Etat, à une indemnité pour les dépenses occasionnées par la procédure de recours (art. 433 al. 1 let. a CPP). Il a conclu à l’octroi d’une indemnité de 3'483 fr. à ce titre et a produit une liste d’opérations faisant état de 9.80 heures consacrées par son conseil à la procédure de recours, dont 7.50 heures dévolues à l’étude du dossier et à la rédaction du recours. Cette durée est excessive au vu de la nature de l’affaire, du mémoire produit et des déterminations déposées, 5 heures apparaissant suffisantes pour une avocate brevetée pour effectuer toutes les opérations nécessaires dans le cadre de la procédure de recours, à raison notamment de 3 heures pour la rédaction du recours. L’indemnité sera ainsi fixée à 1’500 fr., correspondant à cinq heures d’activité nécessaire d’avocate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30 fr., plus la TVA au taux de 7,7 %, par 117 fr. 80, soit à 1’648 fr. au total en chiffres arrondis.</w:t>
      </w:r>
    </w:p>
    <w:p>
      <w:r>
        <w:t>- 22 - Par ces motifs, la Chambre des recours pénale prononce : I. Le recours est admis. II. L’ordonnance du 29 juin 2022 est annulée. III. Le dossier de la cause est renvoyé au Ministère public central, division affaires spéciales, pour qu’il procède dans le sens des considérants. IV. Les frais d’arrêt, par 2’090 fr. (deux mille nonante francs), sont laissés à la charge de l’Etat. V. Une indemnité de 1’648 fr. (mille six cent quarante-huit francs) est allouée à C.________ pour les dépenses occasionnées par la procédure de recours, à la charge de l’Etat. VI. L’arrêt est exécutoire. La présidente : La greffière : Du Le présent arrêt, dont la rédaction a été approuvée à huis clos, est notifié, par l'envoi d'une copie complète, à : - Me Marine Girardin, avocate (pour C.________), - Me Coralie Devaud, avocate (pour P.________), - Me Gilles Monnier, avocat (pour K.________), - Me Amédée Kasser, avocat (pour R.________), - Me Daniel Pache, avocat (pour V.________), - Ministère public central,</w:t>
      </w:r>
    </w:p>
    <w:p>
      <w:r>
        <w:t>- 23 - et communiqué à : - M. le Procureur du Ministère public central, division affaires spéciales, - Mme [...], Unité des affaires juridiques, L.________, -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