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PE18.013608 vom 14. August 2019</w:t>
      </w:r>
    </w:p>
    <w:p>
      <w:r>
        <w:t>VD Tribunal cantonal, 2019-08-14, FR</w:t>
      </w:r>
    </w:p>
    <w:p>
      <w:r>
        <w:rPr>
          <w:b/>
        </w:rPr>
        <w:t xml:space="preserve">Quelle: </w:t>
      </w:r>
      <w:r>
        <w:t>https://mcp.opencaselaw.ch/entscheid/vd_gerichte_PE18.013608</w:t>
      </w:r>
    </w:p>
    <w:p>
      <w:r>
        <w:t>FR: VD_GERICHTE PE18.013608 du 14 août 2019</w:t>
      </w:r>
    </w:p>
    <w:p>
      <w:r>
        <w:t>IT: VD_GERICHTE PE18.013608 del 14 agosto 2019</w:t>
      </w:r>
    </w:p>
    <w:p>
      <w:pPr>
        <w:pStyle w:val="Heading2"/>
      </w:pPr>
      <w:r>
        <w:t>Erwägungen</w:t>
      </w:r>
    </w:p>
    <w:p>
      <w:r>
        <w:rPr>
          <w:b/>
        </w:rPr>
        <w:t>E. 12</w:t>
      </w:r>
    </w:p>
    <w:p>
      <w:r>
        <w:t>g d'héroïne pure, que celui du métier générant un chiffre d'affaires ou un gain important, soit un bénéfice d'au moins 10'000 fr., qui est réalisé en l’espèce au vu du cumul des sommes saisies (79'690 fr. chez J.________ et 5'000 fr. chez la prévenue) (cf. Favre et alii, Droit pénal accessoire, Code annoté, éd. bis et ter, Lausanne 2018, n. 2.21 ad art. 19 LStup, p. 854). Les actes de trafic sont quasiment quotidiens. Si la cachette de l'argent a été révélée, ce n'est pas par repentance, mais pour faire obstacle à ce que ce butin soit soustrait par des codétenues selon ce que croyait l'appelante. Enfin, il n'est pas établi que celle-ci ait été contrainte au trafic. En effet, s'il est possible qu'elle ait été violentée par un fournisseur, faits évoqués par elle auprès de sa psychologue (P. 19), ce qu'aucune enquête séparée n'a vérifié, un rapport de causalité entre ces violences alléguées et son implication dans le trafic aurait impliqué qu'elle ne puisse objectivement pas demander protection aux autorités et s'avère d'autant plus invraisemblable que le moteur de son trafic réside dans la constitution d'un « trésor » de 80'000 fr. en liquide, alors qu'elle bénéficiait d'une rente Al entière de 2'400 fr., soit d'une certaine sécurité financière, ainsi que d'un cadre médical, et qu'elle prétend être parvenue d'elle-même à s'abstenir de consommer des drogues. L’infraction grave à la LStup à sanctionner est passible d’une peine privative de liberté d’un an au moins (art. 19 al. 2 LStup). Quant à l’infraction de blanchiment d’argent (305bis CP), elle est punissable d’une peine privative de liberté de trois ans au plus ou d’une peine pécuniaire. En l’occurrence, pour les crimes à la LStup, la réalisation de l'aggravante de l'art. 19 al. 2 LStup impose la peine privative de liberté comme genre de peine. Vu les mauvais antécédents de la prévenue, une peine privative</w:t>
      </w:r>
    </w:p>
    <w:p>
      <w:r>
        <w:t>- 25 - de liberté s'impose également, pour des motifs de prévention spéciale, pour l’infraction de blanchiment d’argent. Les condamnations prononcées les 27 mars et 4 août 2015, en partie postérieures aux faits objets de la présente procédure, sont exprimées en peines privatives de liberté. On se trouve donc en présence d’un concours rétrospectif et l’art. 49 al. 2 CP est applicable. En revanche, tel n'est pas le cas à l'égard de l'ordonnance de condamnation du 10 avril 2017 relative à une peine pécuniaire. Le dispositif du jugement de première instance sera rectifié d'office sur ce point. L’infraction grave à la LStup commise par la prévenue durant la période comprise entre 2014 et le 26 mars 2015 dans le cadre de la présente affaire est antérieure à sa condamnation prononcée le 27 mars 2015 par le Ministère public de l’arrondissement de Lausanne, pour violation des règles de la circulation routière, conduite en étant en incapacité de conduire (véhicule automobile, autres raisons), omission de porter les permis ou les autorisations et contravention à la LStup, à peine privative de liberté de 70 jours et à une amende de 300 francs. Les peines en cause étant du même genre, il y a en l’espèce lieu de fixer une peine complémentaire en tenant compte du fait que l’auteur ne doit pas être puni plus sévèrement que s’il avait fait l’objet d’un seul jugement. En prenant en considération cette précédente condamnation et compte tenu de la culpabilité de la prévenue telle qu’elle est décrite ci-dessus, il convient de fixer une peine privative de liberté de 3 mois pour l’infraction grave à la LStup, qui est l’infraction la plus grave. Pour ce groupe d’infractions, la peine complémentaire doit donc être arrêtée à 3 mois. L’infraction grave à la LStup commise par la prévenue durant la période comprise entre le 27 mars 2015 et le 3 août 2015 dans le cadre de la présente affaire est antérieure à sa condamnation prononcée le 4 août 2015 par le Ministère public de l’arrondissement de Lausanne, pour conduite en étant en l’incapacité de conduire (véhicule automobile, autres raisons), conduite d’un véhicule malgré le refus, le retrait ou l’interdiction de l’usage du permis et contravention à la LStup, à peine privative de</w:t>
      </w:r>
    </w:p>
    <w:p>
      <w:r>
        <w:t>- 26 - liberté de 100 jours et à une amende de 300 francs. Les peines en cause étant du même genre, il y a en l’espèce lieu de fixer une peine complémentaire en tenant compte du fait que l’auteur ne doit pas être puni plus sévèrement que s’il avait fait l’objet d’un seul jugement. En prenant en considération cette précédente condamnation et compte tenu de la culpabilité de la prévenue telle qu’elle est décrite ci-dessus, il convient de fixer une peine privative de liberté de 3 mois pour l’infraction grave à la LStup, qui est l’infraction la plus grave. Pour ce groupe d’infractions, la peine complémentaire doit donc être arrêtée à 3 mois. Les crimes subséquents à la LStup et le blanchiment d’argent doivent être sanctionnés de manière distincte. L’infraction grave à la LStup est de toute évidence la plus grave. Compte tenu des autres éléments à charge et à décharge retenus, cette infraction mérite à elle seule une peine privative de liberté de 36 mois. Par l'effet du concours, elle doit être augmentée de 6 mois pour le blanchiment d’argent. Cumulée avec les peines complémentaires, elle doit en définitive être fixée à 48 mois, soit 4 ans. Dans la mesure où la quotité de la peine prononcée par le Tribunal correctionnel ne peut pas être augmentée, sous peine de violer le principe de l’interdiction de la reformatio in pejus, la peine privative de liberté de 42 mois fixée par les premiers juges doit être confirmée. Il en va de même de l’amende de 300 fr., dont la quotité a été fixée pour sanctionner la contravention à la LStup. Cette amende sera convertie en 3 jours de peine privative de liberté de substitution en cas de défaut de paiement. Enfin, outre le fait que le pronostic est clairement défavorable, la quotité de la peine exclut l’octroi du sursis (cf. art. 42 al. 1 CP). 5. 5.1 L’appelante conteste l’expulsion prononcée à son encontre. Elle se prévaut de la clause de rigueur, en relevant qu'âgée de 52 ans, elle aurait vécu environ les vingt-trois dernières années en Suisse, que ses liens avec son pays d'origine seraient ténus et que son intérêt à continuer</w:t>
      </w:r>
    </w:p>
    <w:p>
      <w:r>
        <w:t>- 27 - à bénéficier des soins médicaux qu'elle reçoit en Suisse serait déterminant. 5.2 5.2.1 Aux termes de l'art. 66a al. 1 let. o CP (Code pénal suisse du 21 décembre 1937 ; RS 311.0), le juge expulse de Suisse l'étranger qui est condamné pour infraction à l’art. 19 al. 2 LStup.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RS 101])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w:t>
      </w:r>
    </w:p>
    <w:p>
      <w:r>
        <w:t>- 28 -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TF 6B_143/2019 du 6 mars 2019 consid. 3.3.1 ;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du 6 mars 2019 consid. 3.3.1 ; TF 6B_627/2018 du 22 mars 2019 consid. 1.3.5). 5.2.2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6B_143/2019 du 6 mars 2019 consid. 3.3.2 et les arrêts cités). Par ailleurs, les relations visées par l'art. 8 par. 1 CEDH en matière de « vie familiale » sont avant tout celles qui concernent la famille dite nucléaire, soit celles qui existent entre époux ainsi qu'entre parents et</w:t>
      </w:r>
    </w:p>
    <w:p>
      <w:r>
        <w:t>- 29 - enfants mineurs vivant en ménage commun (ATF 144 II 1 consid. 6.1 ; ATF 135 I 143 consid. 1.3.2 ; TF 6B_143/2019 du 6 mars 2019 consid. 3.3.2). 5.2.3 Selon le Tribunal fédéral, les éléments d'ordre médical doivent être pris en compte dans l'examen de l'art. 8 par. 2 CEDH, à travers le caractère provisoire ou définitif de l'interdiction du territoire.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(TF 6B_2/2019 du 27 septembre 2019 consid. 9.1 et les références citées). L'autorité de jugement appelée à prononcer une expulsion doit examiner si, en raison de l'état de santé du prévenu, la mesure s'avère disproportionnée. Elle ne doit pas simplement renvoyer la question à l'autorité d'exécution, compétente pour reporter l'expulsion lorsque le principe de non-refoulement ou d'autres règles impératives du droit international s'opposent à l'expulsion (art. 66d CP). Il faut cependant prendre en considération que, conformément à l'art. 66c al. 2 CP, la peine ou partie de peine ferme ou la mesure privative de liberté doit être exécutée avant l'expulsion. Lorsque la privation de liberté à exécuter est d'une certaine durée, il peut donc s'écouler un temps relativement important entre le prononcé d'expulsion et son exécution, pendant lequel les circonstances, en particulier liées à l'état de santé de l'intéressé, sont susceptibles d'évoluer. Partant, lorsque l'état de santé actuel de l'intéressé est susceptible de constituer un obstacle à son renvoi dans son pays d'origine, le juge de l'expulsion doit examiner si cet état est stable, en ce sens que selon toute vraisemblance, il ne s'améliorera pas. Dans cette première hypothèse, il renoncera à l'expulsion si celle-ci est disproportionnée au sens des art. 66a al. 2 CP et/ou 8 par. 2 CEDH. En revanche, si le juge constate que le problème de santé en question est curable ou suffisamment maîtrisé médicalement, il pourra conclure que l'expulsion n'apparaît pas disproportionnée pour ce motif. Dans cette seconde hypothèse, le juge fonde sa décision sur des éléments concrets, par exemple la perspective d'une opération de nature à pallier de manière</w:t>
      </w:r>
    </w:p>
    <w:p>
      <w:r>
        <w:t>- 30 - suffisante le problème de santé actuel (TF 6B_2/2019 du 27 septembre 2019 consid. 9.4). 5.2.4 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TF 6B_1043/2017 du 14 août 2018 consid. 3.1.3 ; TF 6B_861/2018 du 24 octobre 2018 consid. 2.6 ; Grodecki/ Jeanneret, L’expulsion judiciaire, in : Dupont/Kuhn [éd.], Droit pénal, Evolutions en 2018, p. 149). 5.3 En l'espèce, l'intérêt public à l'expulsion de l'appelante est important. Elle s'est en effet livrée à un trafic de stupéfiants portant sur une importante quantité d’héroïne qui lui vaut une condamnation à une peine privative de liberté conséquente de 42 mois. Elle a par ailleurs déjà été condamnée à six reprises depuis 2009 dans des domaines pénaux variés. Aucune de ses condamnations n'a manifestement suffi à la dissuader de récidiver, étant en outre rappelé que la prévenue a vendu de la drogue alors qu’elle était porteuse d’un bracelet électronique. En d'autres termes, l'appelante fait preuve d'un mépris persistant de l'ordre juridique suisse et d'une absence totale de prise de conscience. L'appelante ne peut en outre pas se prévaloir d'une intégration particulièrement réussie en Suisse. Quand bien même elle y réside depuis plusieurs années, elle a passé en détention la dernière année de son séjour en Suisse. Si elle a travaillé quelques années, elle a aussi vécu d'aide sociale avant de recevoir une rente Al. Enfin et surtout, le comportement délictueux de l’appelante démontre, comme on l’a vu, qu’elle est incapable de respecter l’ordre juridique suisse et donc de s’intégrer dans ce pays. Certes, elle a un fils majeur résidant en Suisse. Toutefois, elle pourra communiquer avec lui avec les moyens techniques</w:t>
      </w:r>
    </w:p>
    <w:p>
      <w:r>
        <w:t>- 31 - modernes ou le voir à la frontière suisse ou recevoir sa visite au Portugal, où elle a des liens solides. Elle y possède en effet une maison familiale où vivent l'un de ses fils et ses petits-enfants. S'agissant d'un pays européen, il va de soi que l'intéressée jouira au Portugal de prestations médicales comparables à celles qui lui sont procurées ici. Enfin, la durée de l'expulsion de 12 ans est proportionnée à la dangerosité ressortant de la mise en péril sans scrupules de la santé publique dans notre pays. Au vu de l’ensemble des éléments qui précèdent, force est de constater que l'intérêt public à l'expulsion de Q.________ l'emporte manifestement sur l'intérêt privé de celle-ci à demeurer en Suisse. Cette mesure doit donc être confirmée, tout comme sa durée fixée à 12 ans. 6. Conformément à l’art. 51 CP, la détention subie par Q.________ depuis le jugement de première instance sera déduite de la peine privative de liberté de 42 mois qui est prononcée contre elle. Pour garantir l’exécution de cette peine et de l’expulsion de l’appelante, et compte tenu des risques de fuite et de récidive qu’elle présente, le maintien de l’intéressée en exécution anticipée de peine sera ordonné. 7. En conclusion, l’appel de Q.________ doit être rejeté et le jugement attaqué confirmé. Selon la liste d’opérations produite par Me Matthieu Genillod, dont il n’y a pas lieu de s’écarter, une indemnité pour la procédure d’appel d’un montant de 2’582 fr. 85, correspondant à 7 heures 30 d’activité d’avocat breveté, plus 6 heures 15 d’activité d’avocat-stagiaire, plus une vacation à 80 fr., plus deux vacations à 120 fr., plus 40 fr. 70 de débours</w:t>
      </w:r>
    </w:p>
    <w:p>
      <w:r>
        <w:t>- 32 - (2% des honoraires), plus 184 fr. 65 de TVA, sera allouée à celui-ci pour son mandat de défenseur d’office de Q.________. Vu l’issue de la cause, les frais de la procédure d’appel, par 5'812 fr. 85, constitués de l’émolument de jugement, par 3’230 fr. (art. 21 al. 1 et 2 TFIP [Tarif des frais de procédure et indemnités en matière pénale du 28 septembre 2010 ; BLV 312.03.1]), et de l’indemnité allouée à son défenseur d’office, par 2'582 fr. 85, seront mis à la charge de Q.________, qui succombe (art. 428 al. 1CPP). Q.________ sera tenue de rembourser à l’Etat le montant de l’indemnité en faveur de son défenseur d’office que lorsque sa situation financière le permettra (art. 135 al. 4 let. a CPP). La Cour d’appel pénale, appliquant les art. 40, 47, 49 al. 1 et 2, 50, 51, 66a al. 1, 69, 70, 103, 106, 109, 305bis ch. 1 CP ; 19a ch. 1, 19 al. 1 let. b, c, d et g et al. 2 let. a et c LStup et 398 ss CPP, prononce : I. L’appel est rejeté. II. Le jugement rendu le 14 août 2019 par le Tribunal correctionnel de l’arrondissement de Lausanne, rectifié d'office à son chiffre II, est confirmé selon le dispositif suivant : "I. constate que Q.________ s’est rendue coupable de blanchiment d’argent, de contravention et d’infraction grave à la Loi fédérale sur les stupéfiants; II. condamne Q.________ à une peine privative de liberté de 42 mois, sous déduction de 226 jours de détention préventive avant jugement et de 141 jours de détention sous le régime de</w:t>
      </w:r>
    </w:p>
    <w:p>
      <w:r>
        <w:t>- 33 - l’exécution anticipée de peine, la présente peine étant partiellement complémentaire à celles prononcées les 27.03.2015 et 04.08.2015 par le Ministère public de l’arrondissement de Lausanne; III. condamne en outre Q.________ à une amende de 300 fr., la peine privative de liberté de substitution en cas de non paiement fautif de cette amende étant de 3 jours; IV. ordonne l’expulsion de Q.________ du territoire suisse pour une durée de 12 ans; V. ordonne le maintien en détention de Q.________ jusqu’à jugement définitif exécutoire; VI. ordonne la confiscation définitive et la destruction des objets et produits stupéfiants séquestrés sous fiches n° 24427, S18.006786, S18.006787, S18.006788 et S18.006789; VII. ordonne la confiscation définitive et la dévolution à l’Etat des sommes d’argent séquestrées sous fiches n° 24476, 24477 et 25144; VIII. ordonne le maintien au dossier à titre de pièces à conviction des objets et documents séquestrés sous fiche n° 25326; IX. met les frais de la cause, par 20'969 fr. 95, à la charge de Q.________ et dit que ces frais comprennent l’indemnité allouée à son défenseur d’office, Me Matthieu Genillod, par 8'684 fr. 10, débours, vacations et TVA compris, cette indemnité devant être remboursée à l’Etat aussitôt et dans la mesure où la situation financière de Q.________ le permettra." III. La détention subie depuis le jugement de première instance est déduite. IV.Le maintien en exécution anticipée de peine de Q.________ est ordonné.</w:t>
      </w:r>
    </w:p>
    <w:p>
      <w:r>
        <w:t>- 34 - V. Une indemnité de défenseur d'office pour la procédure d'appel d'un montant de 2’582 fr. 85, TVA et débours inclus, est allouée à Me Matthieu Genillod. VI.Les frais d'appel, par 5'812 fr. 85, y compris l'indemnité allouée au défenseur d'office, sont mis à la charge de Q.________. VII. Q.________ ne sera tenue de rembourser à l’Etat le montant de l’indemnité en faveur de son défenseur d’office prévue au ch. V ci-dessus que lorsque sa situation financière le permettra. Le président : Le greffier : Du Le jugement qui précède, dont le dispositif a été communiqué par écrit aux intéressés le 27 janvier 2020, est notifié, par l'envoi d'une copie complète, à : - Me Matthieu Genillod, avocat (pour Q.________), - Ministère public central, et communiqué à : - M. le Président du Tribunal correctionnel de l'arrondissement de Lausanne, - M. le Procureur cantonal Strada, - Office d'exécution des peines, - Prison de La Tuilière, - Service de la population, par l'envoi de photocopies.</w:t>
      </w:r>
    </w:p>
    <w:p>
      <w:r>
        <w:t>- 35 -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