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PE18.013511 vom 19. Februar 2019</w:t>
      </w:r>
    </w:p>
    <w:p>
      <w:r>
        <w:t>VD Tribunal cantonal, 2019-02-19, FR</w:t>
      </w:r>
    </w:p>
    <w:p>
      <w:r>
        <w:rPr>
          <w:b/>
        </w:rPr>
        <w:t xml:space="preserve">Quelle: </w:t>
      </w:r>
      <w:r>
        <w:t>https://mcp.opencaselaw.ch/entscheid/vd_gerichte_PE18.013511</w:t>
      </w:r>
    </w:p>
    <w:p>
      <w:r>
        <w:t>FR: VD_GERICHTE PE18.013511 du 19 février 2019</w:t>
      </w:r>
    </w:p>
    <w:p>
      <w:r>
        <w:t>IT: VD_GERICHTE PE18.013511 del 19 febbraio 2019</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Une décision par laquelle un tribunal de première instance</w:t>
      </w:r>
    </w:p>
    <w:p>
      <w:r>
        <w:t>- 4 - refuse, avant l’ouverture des débats devant lui, de nommer un défenseur d’office au prévenu est cependant susceptible de recours selon les art. 393 ss CPP, dans la mesure où un tel refus est de nature à causer un préjudice irréparable à l’intéressé (ATF 140 IV 202 consid. 2.2, SJ 2015 I 73 ; ATF 139 IV 113, JdT 2014 IV 30 ; CREP 11 février 2019/109 ; CREP 4 février 2015/90).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devant l’autorité compétente, par une partie qui a qualité pour recourir (art. 382 al. 1 CPP) et dans les formes prescrites (art. 385 al. 1 CPP), le recours est recevable.</w:t>
      </w:r>
    </w:p>
    <w:p>
      <w:r>
        <w:rPr>
          <w:b/>
        </w:rPr>
        <w:t>E. 2.1</w:t>
      </w:r>
    </w:p>
    <w:p>
      <w:r>
        <w:t>La recourante fait valoir que la défense d’un avocat lui serait nécessaire pour pouvoir bénéficier d’une défense efficace. Elle soutient que la cause ne relèverait pas d’un « cas bagatelle », mais présenterait des difficultés d’ordre factuel en lien notamment avec les pièces produites par l’EVAM, un témoin ayant d’ailleurs été assigné à l’audience de jugement pour être entendu sur les faits de la cause, et qu’elle poserait une question de droit potentiellement complexe, dont les notions, tenants et aboutissants lui échapperaient totalement, le français n’étant de surcroît pas sa langue maternelle.</w:t>
      </w:r>
    </w:p>
    <w:p>
      <w:r>
        <w:rPr>
          <w:b/>
        </w:rPr>
        <w:t>E. 2.2.1</w:t>
      </w:r>
    </w:p>
    <w:p>
      <w:r>
        <w:t>Aux termes de l'art. 130 CPP, le prévenu doit avoir un défenseur notamment dans les cas où la détention provisoire, y compris la durée de l’arrestation provisoire, a excédé dix jours (let. a) ou dans les cas où il encourt une peine privative de liberté de plus d'un an, une mesure entraînant une privation de liberté ou une expulsion (let. b). La peine que le prévenu «encourt» (cf. art. 130 let. b CPP), ou celle dont il est</w:t>
      </w:r>
    </w:p>
    <w:p>
      <w:r>
        <w:t>- 5 - «passible» (cf. art. 132 al. 3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in : Niggli/Heer/Wiprächtiger [éd.], Basler Kommentar, Schweizerische Strafprozessordnung, Jugendstrafprozessordnung, 2e éd., Bâle 2014, n. 18 ad art. 130 CPP ; Harari/Aliberti, in: Kuhn/Jeanneret [éd.], Commentaire romand, Code de procédure pénale suisse, Bâle 2011, n. 23 ad art. 130 CPP et les références citées).</w:t>
      </w:r>
    </w:p>
    <w:p>
      <w:r>
        <w:rPr>
          <w:b/>
        </w:rPr>
        <w:t>E. 2.2.2</w:t>
      </w:r>
    </w:p>
    <w:p>
      <w:r>
        <w:t>En dehors des cas de défense obligatoire au sens de l’art. 130 CPP, l'art. 132 al. 1 let. b CPP soumet le droit à l'assistance d'un défenseur d'office aux conditions que le prévenu soit indigent et que la sauvegarde de ses intérêts justifie une telle assistance, ces deux conditions étant cumulatives (Harari/Aliberti, op. cit., n. 55 ad art. 132 CPP). L’art. 132 al. 1 let. b CPP codifie la jurisprudence en matière de défense d'office rendue par le Tribunal fédéral avant l'entrée en vigueur du Code de procédure pénale suisse (Harari/Aliberti, op. cit., nn. 60 ss ad art. 132 CPP). S’agissant de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 Harari/Aliberti, op. cit., n. 33 ad art. 132 CPP). Aux termes de l’art. 132 al. 2 CPP, la défense d'office aux fins de protéger les intérêts du prévenu indigent se justifie notamment lorsque l'affaire n'est pas de peu de gravité et – condition cumulative (Harari/Aliberti, op. cit., n. 61 ad art. 132 CPP ;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w:t>
      </w:r>
    </w:p>
    <w:p>
      <w:r>
        <w:t>- 6 - mois ou d’une peine pécuniaire de plus de 120 jours-amende (art. 132 al. 3 CPP). La deuxième condition s'interprète à l'aune des critères mentionnés à l'art. 132 al. 2 et 3 CPP (Harari/Aliberti, op. cit., nn. 60 ss ad art. 132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 ATF 128 I 225 précité consid. 2.5.2). En revanche, dans les « cas bagatelle » – soit, selon le Tribunal fédéral, ceux dans lesquels il ne risque qu'une peine de courte durée ou une amende –, le prévenu n'a pas, même s'il est indigent, de droit constitutionnel à la désignation d'un défenseur d'office gratuit (ATF 128 I 225 précité ; TF 6B_304/2007 du 15 août 2008 consid. 5.2 ; Harari/Aliberti, op. cit., n. 67 ad art. 132 CPP).</w:t>
      </w:r>
    </w:p>
    <w:p>
      <w:r>
        <w:rPr>
          <w:b/>
        </w:rPr>
        <w:t>E. 2.3</w:t>
      </w:r>
    </w:p>
    <w:p>
      <w:r>
        <w:t>En l’espèce, force est de constater que l’on se trouve en présence d’un « cas bagatelle », dans le cadre duquel la recourante n’encourt en principe pas une peine bien supérieure à la peine de 30 jours- amende avec sursis prononcée par le Ministère public dans son ordonnance pénale du 11 septembre 2018, qui tient lieu d’acte d’accusation selon l’art. 356 al. 1 CPP. Par ailleurs, la recourante, qui vit en Suisse depuis de nombreuses années et maîtrise plus qu’honorablement le français, sera assistée d’un interprète. Enfin, la cause ne présente pas de difficulté particulière, que ce soit en fait (le témoin convoqué l’ayant été pour confirmer la teneur de son écrit du 26 novembre 2018) ou en droit (l’accusation d’escroquerie, dans un cas simple comme le cas d’espèce,</w:t>
      </w:r>
    </w:p>
    <w:p>
      <w:r>
        <w:t>- 7 - n’entraînant pas automatiquement le droit à l’assistance d’un défenseur d’office). En définitive, les conditions prévues à l’art. 132 al. 1 let. b CPP n’étant pas réalisées, c’est à juste titre que le premier juge a refusé de nommer un défenseur d’office à la recourante.</w:t>
      </w:r>
    </w:p>
    <w:p>
      <w:r>
        <w:rPr>
          <w:b/>
        </w:rPr>
        <w:t>E. 3</w:t>
      </w:r>
    </w:p>
    <w:p>
      <w:r>
        <w:t>Il résulte de ce qui précède que le recours, manifestement mal fondé, doit être rejeté sans échange d’écritures (art. 390 al. 2 CPP) et le prononcé entrepris confirmé. La requête tendant à la désignation d’un défenseur d’office pour la procédure devant la Cour de céans doit également être rejetée, le recours apparaissant d’emblée dénué de chances de succès (cf. CREP 16 novembre 2015/741 ; CREP 20 novembre 2015/833). Les frais de la procédure de recours, constitués en l’espèce du seul émolument d’arrêt, par 770 fr. (art. 20 al. 1 TFIP [Tarif des frais de procédure et indemnités en matière pénale du 28 septembre 2010 ; BLV 312.03.1]), seront mis à la charge de la recourante, qui succombe (art. 428 al. 1 CPP). Par ces motifs, la Chambre des recours pénale prononce : I. Le recours est rejeté. II. Le prononcé du 6 février 2019 est confirmé. III. La requête tendant à la désignation d’un défenseur d’office à L.________ pour la procédure de recours est rejetée.</w:t>
      </w:r>
    </w:p>
    <w:p>
      <w:r>
        <w:t>- 8 - IV. Les frais d’arrêt, par 770 fr. (sept cent septante francs), sont mis à la charge de la recourante. V. L’arrêt est exécutoire. Le président : La greffière : Du Le présent arrêt, dont la rédaction a été approuvée à huis clos, est notifié, par l'envoi d'une copie complète, à : - Me Raphaël Brochellaz, avocat (pour L.________), - Ministère public central, et communiqué à : - Mme la Présidente du Tribunal de police de l’arrondissement de l’Est vaudois, - M. le Procureur du Ministère public de l’arrondissement de l’Est vaudois,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