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PE18.013475 vom 2. Oktober 2019</w:t>
      </w:r>
    </w:p>
    <w:p>
      <w:r>
        <w:t>VD Tribunal cantonal, 2019-10-02, FR</w:t>
      </w:r>
    </w:p>
    <w:p>
      <w:r>
        <w:rPr>
          <w:b/>
        </w:rPr>
        <w:t xml:space="preserve">Quelle: </w:t>
      </w:r>
      <w:r>
        <w:t>https://mcp.opencaselaw.ch/entscheid/vd_gerichte_PE18.013475</w:t>
      </w:r>
    </w:p>
    <w:p>
      <w:r>
        <w:t>FR: VD_GERICHTE PE18.013475 du 2 octobre 2019</w:t>
      </w:r>
    </w:p>
    <w:p>
      <w:r>
        <w:t>IT: VD_GERICHTE PE18.013475 del 2 ottobre 2019</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Aux termes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La déclaration doit être faite devant une autorité de poursuite pénale avant la clôture de la procédure préliminaire (art. 118 al. 3 CPP). Si le lésé n’a pas fait spontanément de déclaration, le ministère public attire son attention dès l’ouverture de la procédure préliminaire sur son droit d’en faire une (art. 118 al. 4 CPP). Le CPP ne prévoit pas la conséquence de l’omission du ministère public de donner ce dernier avis. Selon la doctrine (Lieber, in : Donatsch/Hansjakob/Lieber [éd.], Kommentar zur Schweizerischen Strafprozess-ordnung, 2e éd., Zurich/Bâle 2014, n. 14 ad art. 118 CPP) et la jurisprudence (TF 6B_728/2012 du 18 février 2013 consid. 3.2.1), lorsque le ministère public a omis de donner l’information prévue à l’art. 118 al. 4 CPP, le lésé doit être autorisé à se constituer partie civile ultérieurement. Mais encore doit-il le faire en exprimant la volonté de participer à une procédure pénale dirigée contre des tiers.</w:t>
      </w:r>
    </w:p>
    <w:p>
      <w:r>
        <w:rPr>
          <w:b/>
        </w:rPr>
        <w:t>E. 1.3</w:t>
      </w:r>
    </w:p>
    <w:p>
      <w:r>
        <w:t>En l’espèce, R.________ conteste certains passages de l’ordonnance attaquée qui paraissent lui adresser des reproches. Il ne</w:t>
      </w:r>
    </w:p>
    <w:p>
      <w:r>
        <w:t>- 4 - demande pas que des poursuites pénales soient exercées contre des tiers et ne manifeste pas sa volonté d’y participer. Ainsi, faute pour R.________, lésé, d’avoir déposé plainte pénale, il ne peut se prévaloir de la qualité de partie plaignante et ne dispose d’aucun intérêt juridiquement protégé à l’annulation ou la modification de l’ordonnance attaquée. Il n’a donc pas la qualité pour recourir contre celle-ci, de sorte que son recours doit être déclaré irrecevable.</w:t>
      </w:r>
    </w:p>
    <w:p>
      <w:r>
        <w:rPr>
          <w:b/>
        </w:rPr>
        <w:t>E. 2</w:t>
      </w:r>
    </w:p>
    <w:p>
      <w:r>
        <w:t>S’agissant de la requête du prénommé relative à la traduction en allemand de l’ordonnance entreprise ainsi que du présent arrêt, on relèvera ce qui suit.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Dans le canton de Vaud, la langue de la procédure est le français (art. 16 LVCPP). Cela étant, seul le prévenu a le droit à une traduction du contenu essentiel des actes de procédure les plus importants (cf. art. 68 al. 2 CPP). Or, R.________ n’a pas la qualité de partie dans cette affaire, ni a fortiori de prévenu. Il ne saurait dès lors se prévaloir d’un droit à la traduction de l’ordonnance du 17 avril 2019, ni à celle du présent arrêt. Il n’y a par conséquent pas lieu d’accéder à sa requête.</w:t>
      </w:r>
    </w:p>
    <w:p>
      <w:r>
        <w:rPr>
          <w:b/>
        </w:rPr>
        <w:t>E. 3</w:t>
      </w:r>
    </w:p>
    <w:p>
      <w:r>
        <w:t>En définitive, le recours interjeté par R.________ doit être déclaré irrecevable, sans autre échange d’écritures (art. 390 al. 2 CPP). Les frais de la procédure de recours, constitués du seul émolument d'arrêt, par 440 fr. (art. 20 al. 1 TFIP [Tarif des frais de procédure et indemnités en matière pénale du 28 septembre 2010, RSV 312.03.1]), seront laissés à la charge de l’Etat, à titre exceptionnel et compte tenu des circonstances particulières de la cause.</w:t>
      </w:r>
    </w:p>
    <w:p>
      <w:r>
        <w:t>- 5 -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 R.________,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