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PE18.013381 vom 11. Oktober 2019</w:t>
      </w:r>
    </w:p>
    <w:p>
      <w:r>
        <w:t>VD Tribunal cantonal, 2019-10-11, FR</w:t>
      </w:r>
    </w:p>
    <w:p>
      <w:r>
        <w:rPr>
          <w:b/>
        </w:rPr>
        <w:t xml:space="preserve">Quelle: </w:t>
      </w:r>
      <w:r>
        <w:t>https://mcp.opencaselaw.ch/entscheid/vd_gerichte_PE18.013381</w:t>
      </w:r>
    </w:p>
    <w:p>
      <w:r>
        <w:t>FR: VD_GERICHTE PE18.013381 du 11 octobre 2019</w:t>
      </w:r>
    </w:p>
    <w:p>
      <w:r>
        <w:t>IT: VD_GERICHTE PE18.013381 del 11 ottobre 2019</w:t>
      </w:r>
    </w:p>
    <w:p>
      <w:pPr>
        <w:pStyle w:val="Heading2"/>
      </w:pPr>
      <w:r>
        <w:t>Erwägungen</w:t>
      </w:r>
    </w:p>
    <w:p>
      <w:r>
        <w:rPr>
          <w:b/>
        </w:rPr>
        <w:t>E. 3</w:t>
      </w:r>
    </w:p>
    <w:p>
      <w:r>
        <w:t>En définitive, le recours de Q.________ doit être admis, l’ordonnance du 26 août 2019 annulée, et le dossier de la cause renvoyé au Ministère public de l’arrondissement de l’Est vaudois pour qu’il procède dans le sens des considérants. Les frais de la procédure de recours, par 880 fr. (art. 20 al. 1 TFIP [tarif des frais de procédure et indemnités en matière pénale du 28 septembre 2010 ; BLV 312.03.1]), seront laissés à la charge de l'Etat (art. 428 al. 4 CPP). Le recourant, qui a procédé avec l’assistance d’un avocat de choix et qui a obtenu gain de cause, a droit à une indemnité pour ses dépenses obligatoires occasionnées par la procédure de recours (art. 433 al. 1 let. a CPP, applicable par renvoi de l’art. 436 al. 1 CPP), à la charge de l’Etat. Il convient de retenir une activité raisonnable de trois heures d’avocat au tarif horaire de 300 fr. (art. 26a al. 3 TFIP), honoraires auxquels il y a lieu d’ajouter des débours forfaitaires à concurrence de 2 % (art. 19 al. 2 TDC [Tarif des dépens en matière civile du 23 novembre 2010 ; BLV 270.11.6] applicable par analogie par renvoi de l’art. 26a al. 6 TFIP), par 18 fr., plus un montant correspondant à la TVA, par 70 fr. 70, l’indemnité s’élevant ainsi à 988 fr. 70.</w:t>
      </w:r>
    </w:p>
    <w:p>
      <w:r>
        <w:t>- 9 - Par ces motifs, la Chambre des recours pénale prononce : I. Le recours est admis. II. L'ordonnance du 14 août 2019 est annulée. III. Le dossier de la cause est renvoyé au Ministère public de l’arrondissement de l'Est vaudois pour qu'il procède dans le sens des considérants. IV. Une indemnité de 988 fr. 70 (neuf cent huitante-huit francs et septante centimes) est allouée à Q.________ pour ses dépenses obligatoires occasionnées par la procédure de recours, à la charge de l'Etat. V. Les frais d'arrêt, par 880 fr. (huit cent huitante francs), sont laissés à la charge de l’Etat. VI. L’arrêt est exécutoire. Le président : Le greffier : Du Le présent arrêt, dont la rédaction a été approuvée à huis clos, est notifié, par l'envoi d'une copie complète, à : - Me Martine Rüdlinger (avocate pour Q.________), - M. B.________, - Ministère public central, et communiqué à : - Mme la Procureure de l’arrondissement de l’Est vaudois,</w:t>
      </w:r>
    </w:p>
    <w:p>
      <w:r>
        <w:t>- 10 -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