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PE18.013190 vom 9. Oktober 2020</w:t>
      </w:r>
    </w:p>
    <w:p>
      <w:r>
        <w:t>VD Tribunal cantonal, 2020-10-09, FR</w:t>
      </w:r>
    </w:p>
    <w:p>
      <w:r>
        <w:rPr>
          <w:b/>
        </w:rPr>
        <w:t xml:space="preserve">Quelle: </w:t>
      </w:r>
      <w:r>
        <w:t>https://mcp.opencaselaw.ch/entscheid/vd_gerichte_PE18.013190</w:t>
      </w:r>
    </w:p>
    <w:p>
      <w:r>
        <w:t>FR: VD_GERICHTE PE18.013190 du 9 octobre 2020</w:t>
      </w:r>
    </w:p>
    <w:p>
      <w:r>
        <w:t>IT: VD_GERICHTE PE18.013190 del 9 ottobre 2020</w:t>
      </w:r>
    </w:p>
    <w:p>
      <w:pPr>
        <w:pStyle w:val="Heading2"/>
      </w:pPr>
      <w:r>
        <w:t>Erwägungen</w:t>
      </w:r>
    </w:p>
    <w:p>
      <w:r>
        <w:rPr>
          <w:b/>
        </w:rPr>
        <w:t>E. 4.1</w:t>
      </w:r>
    </w:p>
    <w:p>
      <w:r>
        <w:t>Invoquant une violation de l’art. 181 CP, les appelants contestent tout lien de causalité entre le comportement de Z.________ et la signature de la reconnaissance de dette. Ils nient également que X.________ puisse être qualifié de coauteur.</w:t>
      </w:r>
    </w:p>
    <w:p>
      <w:r>
        <w:rPr>
          <w:b/>
        </w:rPr>
        <w:t>E. 4.2.1</w:t>
      </w:r>
    </w:p>
    <w:p>
      <w:r>
        <w:t>Se rend coupable de contrainte au sens de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TF 6B_153/2017 du 28 novembre 2017 consid. 3.1), la menace est un moyen de pression psychologique consistant à annoncer un dommage futur dont la réalisation est présentée comme dépendante de la</w:t>
      </w:r>
    </w:p>
    <w:p>
      <w:r>
        <w:t>- 21 - volonté de l’auteur, sans toutefois qu’il soit nécessaire que cette dépendance soit effective (ATF 117 IV 445 consid. 2b, JdT 1994 IV 3; ATF 106 IV 125 consid. 2a; TF 6B_415/2018 du 20 septembre 2018 consid. 2.1.2), ni que l’auteur ait réellement la volonté de réaliser sa menace (ATF 105 IV 120 consid. 2a; TF 6B_153/2017 du 28 novembre 2017 consid. 3.1).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JdT 1998 IV 109; ATF 120 IV 17 consid. 2a/aa; TF 6B_153/2017 du 28 novembre 2017 consid. 3.1).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ATF 137 IV 326 consid. 3.3.1, JdT 2012 IV 279; TF 6B_153/2017 du 28 novembre 2017 consid. 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TF 6B_153/2017 du 28 novembre 2017 consid. 3.1).</w:t>
      </w:r>
    </w:p>
    <w:p>
      <w:r>
        <w:t>- 22 - Pour que l’infraction soit réalisée, il faut qu’il existe un lien de causalité entre le moyen de contrainte utilisé par l’auteur et l’entrave à la liberté d’action de la victime (ATF 101 IV 167 consid. 3).</w:t>
      </w:r>
    </w:p>
    <w:p>
      <w:r>
        <w:rPr>
          <w:b/>
        </w:rPr>
        <w:t>E. 4.2.2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TF 6B_209/2018 du 23 novembre 2018 consid. 2.1.2 non destiné à la publication).</w:t>
      </w:r>
    </w:p>
    <w:p>
      <w:r>
        <w:rPr>
          <w:b/>
        </w:rPr>
        <w:t>E. 4.3</w:t>
      </w:r>
    </w:p>
    <w:p>
      <w:r>
        <w:t>En l’espèce, M.________ a été injurié par les deux prévenus et menacé de mort par Z.________, ce qui l’a effrayé et poussé à signer la reconnaissance de dette portant sur un montant de 27'580 fr., en totale disproportion avec le coût de la marchandise livrée. Il est évident qu’il n’aurait jamais procédé de la sorte, sans les menaces proférées à son encontre (PV aud. 4, lignes 83 et 84). Le lien de causalité entre les menaces et la signature de la reconnaissance de dette est donc établi. Certes, X.________ n’a pas lui-même proféré de menaces. Reste qu’il ne s’est pas désolidarisé de son bon-père. Au contraire, au regard des</w:t>
      </w:r>
    </w:p>
    <w:p>
      <w:r>
        <w:t>- 23 - éléments exposés ci-dessus (cf. consid. 3.3.2 supra), il convient d’admettre qu’il a agi en qualité de coauteur, la décision d’obtenir une reconnaissance de dette signée de l’intimé étant commune aux deux prévenus. La condamnation des deux appelants pour contrainte doit par conséquent être confirmée.</w:t>
      </w:r>
    </w:p>
    <w:p>
      <w:r>
        <w:rPr>
          <w:b/>
        </w:rPr>
        <w:t>E. 5</w:t>
      </w:r>
    </w:p>
    <w:p>
      <w:r>
        <w:t>Les appelants, qui concluent à leur acquittement, ne contestent pas les peines en tant que telles. Vérifiée d'office, la peine pécuniaire de 60 jours-amende infligée à chacun d’eux est adéquate, soit 50 jours-amende pour sanctionner l'infraction de contrainte qui est la plus grave, augmentée de</w:t>
      </w:r>
    </w:p>
    <w:p>
      <w:r>
        <w:rPr>
          <w:b/>
        </w:rPr>
        <w:t>E. 10</w:t>
      </w:r>
    </w:p>
    <w:p>
      <w:r>
        <w:t>jours-amende afin de sanctionner l'infraction d'injure. Elle a été fixée en tenant compte des éléments à charge pertinents, aucun élément à décharge n’ayant à juste titre été retenu, et conformément à la culpabilité et répond ainsi aux exigences de l’art. 47 CP et à la jurisprudence y relative (ATF 141 IV 61 consid. 6.1.1 et les arrêts cités). Il y a donc lieu de confirmer la quotité des peines prononcées. Au vu de la situation financière de chacun des appelants, le montant du jour-amende, fixé à 30 fr. pour X.________ et à 10 fr. pour Z.________, et en soi non contesté, peut aussi être confirmé. Il en va de même du sursis imparti, soit 2 ans pour X.________ et 3 ans pour Z.________, ce dernier ayant déjà été condamné pénalement en 2010. Il convient aussi de confirmer l'amende, adéquate, de 450 fr. pour X.________ et de 350 fr. pour Z.________ à titre de sanction immédiate, ainsi que la peine privative de liberté de 5 jours pour le premier et de 4 jours pour le second en cas d’absence fautive de paiement. 6. Compte tenu de la condamnation des appelants, la mise à leur charge des frais de première instance et de l’indemnité allouée au</w:t>
      </w:r>
    </w:p>
    <w:p>
      <w:r>
        <w:t>- 24 - plaignant à forme de l’art. 433 CPP, ainsi que le refus d’une indemnisation des prévenus au sens de l’art. 429 CPP doivent être confirmés. 7. En définitive, l’appel doit être rejeté et le jugement attaqué confirmé. Vu l'issue de la cause, les frais d'appel, constitués de l’émolument de jugement, par 2'240 fr. (art. 21 al. 1 et 2 TFIP [tarif des frais de procédure et indemnités en matière pénale du 28 septembre 2010; BLV 312.03.1]), seront mis à la charge des appelants, qui succombent, chacun par moitié (art. 428 al. 1 CPP). La condamnation des appelants étant confirmée, il n’y a pas matière à l’allocation d’une indemnité fondée sur l’art. 429 CPP. Le plaignant M.________, qui a procédé avec le concours d’un conseil de choix et qui obtient gain de cause dans la mesure où il a conclu au rejet de l’appel, a droit à une indemnité pour l'exercice raisonnable de ses droits de procédure en appel. Son conseil a produit une liste d’opérations (P. 43) faisant état d’un montant total, TVA et débours compris, de 2'060 fr. 85, ce qui peut être admis tel quel. Vu le sort de la cause, cette indemnité sera mise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