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PE18.012883 vom 14. Mai 2020</w:t>
      </w:r>
    </w:p>
    <w:p>
      <w:r>
        <w:t>VD Tribunal cantonal, 2020-05-14, FR</w:t>
      </w:r>
    </w:p>
    <w:p>
      <w:r>
        <w:rPr>
          <w:b/>
        </w:rPr>
        <w:t xml:space="preserve">Quelle: </w:t>
      </w:r>
      <w:r>
        <w:t>https://mcp.opencaselaw.ch/entscheid/vd_gerichte_PE18.012883</w:t>
      </w:r>
    </w:p>
    <w:p>
      <w:r>
        <w:t>FR: VD_GERICHTE PE18.012883 du 14 mai 2020</w:t>
      </w:r>
    </w:p>
    <w:p>
      <w:r>
        <w:t>IT: VD_GERICHTE PE18.012883 del 14 maggio 2020</w:t>
      </w:r>
    </w:p>
    <w:p>
      <w:pPr>
        <w:pStyle w:val="Heading2"/>
      </w:pPr>
      <w:r>
        <w:t>Erwägungen</w:t>
      </w:r>
    </w:p>
    <w:p>
      <w:r>
        <w:rPr>
          <w:b/>
        </w:rPr>
        <w:t>E. 4.1.1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w:t>
      </w:r>
    </w:p>
    <w:p>
      <w:r>
        <w:t>- 11 -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ATF 141 IV 61 consid. 6.1.1 p. 66 s.).</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TF 6B_1175/2017 du 11 avril 2018 consid, 2.1;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ATF 142 IV 265 consid. 2.3.2; ATF 138 IV 120 consid. 5.2). Que les dispositions pénales</w:t>
      </w:r>
    </w:p>
    <w:p>
      <w:r>
        <w:t>- 12 - applicables prévoient abstraitement des peines de même genre ne suffit pas (ATF 144 IV 313 consid. 1.1.1; ATF 144 IV 217 consid. 2.2; ATF 138 IV 120 consid. 5.2). Si les sanctions envisagées concrètement ne sont pas du même genre, elles doivent être prononcées cumulativement (ATF 144 IV 313 consid. 1.1; ATF 142 IV 265 consid. 2.3.2; ATF 138 IV 120 consid. 5.2; ATF 137 IV 57 consid. 4.3.1). La peine privative de liberté et la peine pécuniaire ne sont pas des sanctions du même genre (ATF 144 IV 313 consid. 1.1; ATF 144 IV 217 consid. 2.2).</w:t>
      </w:r>
    </w:p>
    <w:p>
      <w:r>
        <w:rPr>
          <w:b/>
        </w:rPr>
        <w:t>E. 4.1.3</w:t>
      </w:r>
    </w:p>
    <w:p>
      <w:r>
        <w:t>L'art. 139 CP dispose que celui qui, pour se procurer ou procurer à un tiers un enrichissement illégitime, aura soustrait une chose mobilière appartenant à autrui dans le but de se l’approprier sera puni d’une peine privative de liberté de cinq ans au plus ou d’une peine pécuniaire (al. 1). Le vol sera puni d’une peine privative de liberté de dix ans au plus ou d’une peine pécuniaire de 90 jours-amende au moins si son auteur fait métier du vol (al. 2). Conformément à l'art. 144 al. 1 CP, celui qui aura endommagé, détruit ou mis hors d’usage une chose appartenant à autrui ou frappée d’un droit d’usage ou d’usufruit au bénéfice d’autrui sera, sur plainte, puni d’une peine privative de liberté de trois ans au plus ou d’une peine pécuniaire. En application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Selon l'art. 22 al. 1 CP, le juge peut atténuer la peine si l'exécution d'un crime ou d'un délit n'est pas poursuivie jusqu'à son terme ou que le résultat nécessaire à la consommation de l'infraction ne se produit pas ou ne pouvait pas se produire.</w:t>
      </w:r>
    </w:p>
    <w:p>
      <w:r>
        <w:t>- 13 -</w:t>
      </w:r>
    </w:p>
    <w:p>
      <w:r>
        <w:rPr>
          <w:b/>
        </w:rPr>
        <w:t>E. 4.2</w:t>
      </w:r>
    </w:p>
    <w:p>
      <w:r>
        <w:t>En l’occurrence, la culpabilité du prévenu n’est pas légère. Il est manifestement venu en Suisse pour y commettre des infractions par pur appât du gain et il n’a pas hésité à s’introduire chez T.________ et à violer sa sphère privée. Ce faisant il a réussi à lui subtiliser des bijoux pour plus de 25'000 francs. Ce n’est que parce que [...] était chez lui au moment des faits que le prévenu n’est pas parvenu à ses fins. Les infractions sont en concours. A décharge, on ne voit guère d’élément, le prévenu n’ayant pas estimé nécessaire de venir s’expliquer tant à l’audience de première instance qu’en appel, ne serait-ce que pour démontrer sa collaboration. Le genre de peine choisi par les premiers juges est adéquat pour des motifs de prévention spéciale. En effet, bien que l’appelant n’ait pas d’antécédents en Suisse, une peine pécuniaire ne paraît pas adéquate pour sanctionner en particulier le vol par effraction au domicile portant sur 25'000 francs. Le vol au préjudice de T.________ est l'infraction la plus grave de sorte qu'il fonde l'infraction de base. Une peine de 100 jours est adéquate. Cette peine doit être aggravée par l'effet du concours, savoir une peine de l'ordre de 30 jours pour les dommages à la propriété, de 30 jours pour la violation de domicile et de 20 jours pour la tentative de vol au préjudice de [...]. Compte tenu de ce qui précède, force est de constater que la peine privative de liberté de six mois prononcée par le premier juge à l'encontre de l'appelant a été fixée en application des critères légaux à charge et à décharge et conformément à la culpabilité et à la situation personnelle de D.________ (art. 47 CP). Elle doit dès lors être confirmée. Les conditions objectives et subjectives à l’octroi du sursis sont remplies (art. 42 CP). Le délai d’épreuve de deux ans peut être confirmé. L’amende de 800 fr. à titre de sanction immédiate est adéquate. Il en va</w:t>
      </w:r>
    </w:p>
    <w:p>
      <w:r>
        <w:t>- 14 - de même de la peine privative de liberté en cas de non-paiement fautif de huit jours.</w:t>
      </w:r>
    </w:p>
    <w:p>
      <w:r>
        <w:rPr>
          <w:b/>
        </w:rPr>
        <w:t>E. 5.1</w:t>
      </w:r>
    </w:p>
    <w:p>
      <w:r>
        <w:t>Les premiers juges ont ordonné l’expulsion de D.________ du territoire suisse pour une durée de cinq ans.</w:t>
      </w:r>
    </w:p>
    <w:p>
      <w:r>
        <w:rPr>
          <w:b/>
        </w:rPr>
        <w:t>E. 5.2</w:t>
      </w:r>
    </w:p>
    <w:p>
      <w:r>
        <w:t>L’appelant se trouve dans un cas d’expulsion obligatoire puisqu’il a été condamné pour vol et violation de domicile, infractions en combinaison expressément prévues par l’art. 66a let. d CP. Pour le peu qu’il s’est exprimé D.________ n’a fait valoir aucune attache avec la Suisse et rien n’a été plaidé en ce sens en appel. On ne saurait ainsi considérer que l’activité de porte à porte effectuée en Suisse dont il n’a pas fait valoir qu’elle lui procurait un revenu indispensable soit suffisante au regard de l’intérêt public à son éloignement, qui est prépondérant. L’expulsion prononcée en première instance peut être confirmée. La durée de cinq ans est adéquate.</w:t>
      </w:r>
    </w:p>
    <w:p>
      <w:r>
        <w:rPr>
          <w:b/>
        </w:rPr>
        <w:t>E. 6</w:t>
      </w:r>
    </w:p>
    <w:p>
      <w:r>
        <w:t>En définitive, l'appel de D.________ doit être rejeté et le jugement entrepris intégralement confirmé. Vu l’issue de la cause, les frais de la procédure d’appel, par 1’390 fr. (art. 21 al. 1 et 2 TFIP [Tarif des frais de procédure et indemnités en matière pénale du 28 septembre 2010 ; BLV 312.03.1]), sont mis à la charge d’D.________, qui succombe (art. 428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