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PE18.012745 vom 6. Dezember 2018</w:t>
      </w:r>
    </w:p>
    <w:p>
      <w:r>
        <w:t>VD Tribunal cantonal, 2018-12-06, FR</w:t>
      </w:r>
    </w:p>
    <w:p>
      <w:r>
        <w:rPr>
          <w:b/>
        </w:rPr>
        <w:t xml:space="preserve">Quelle: </w:t>
      </w:r>
      <w:r>
        <w:t>https://mcp.opencaselaw.ch/entscheid/vd_gerichte_PE18.012745</w:t>
      </w:r>
    </w:p>
    <w:p>
      <w:r>
        <w:t>FR: VD_GERICHTE PE18.012745 du 6 décembre 2018</w:t>
      </w:r>
    </w:p>
    <w:p>
      <w:r>
        <w:t>IT: VD_GERICHTE PE18.012745 del 6 dicembre 2018</w:t>
      </w:r>
    </w:p>
    <w:p>
      <w:pPr>
        <w:pStyle w:val="Heading2"/>
      </w:pPr>
      <w:r>
        <w:t>Erwägungen</w:t>
      </w:r>
    </w:p>
    <w:p>
      <w:r>
        <w:rPr>
          <w:b/>
        </w:rPr>
        <w:t>E. 1</w:t>
      </w:r>
    </w:p>
    <w:p>
      <w:r>
        <w:t>Dans le cadre d’une instruction pénale dirigée contre son fils B.V.________ et deux de ses amis, B.________ et J.________, impliqués dans un accident de la circulation avec un véhicule dont elle est la détentrice, 351</w:t>
      </w:r>
    </w:p>
    <w:p>
      <w:r>
        <w:t>- 2 - A.V.________ a déposé plainte pénale contre les deux derniers nommés pour dommages à la propriété, le 28 septembre 2018.</w:t>
      </w:r>
    </w:p>
    <w:p>
      <w:r>
        <w:rPr>
          <w:b/>
        </w:rPr>
        <w:t>E. 2</w:t>
      </w:r>
    </w:p>
    <w:p>
      <w:r>
        <w:t>Par ordonnance du 11 octobre 2018, le Ministère public de l’arrondissement du Nord vaudois a refusé d’entrer en matière sur la plainte d’A.V.________ et a laissé les frais de la cause à la charge de l’Etat.</w:t>
      </w:r>
    </w:p>
    <w:p>
      <w:r>
        <w:rPr>
          <w:b/>
        </w:rPr>
        <w:t>E. 3</w:t>
      </w:r>
    </w:p>
    <w:p>
      <w:r>
        <w:t>Par acte du 21 octobre 2018, A.V.________ a recouru contre cette ordonnance, en concluant implicitement à son annulation et à l’instruction de la cause.</w:t>
      </w:r>
    </w:p>
    <w:p>
      <w:r>
        <w:rPr>
          <w:b/>
        </w:rPr>
        <w:t>E. 4</w:t>
      </w:r>
    </w:p>
    <w:p>
      <w:r>
        <w:t>Par acte du 3 décembre 2018, A.V.________ a notamment déclaré qu’elle renonçait à « poursuivre » son recours du 21 octobre 2018 contre l’ordonnance de non-entrée en matière du 11 octobre précédent.</w:t>
      </w:r>
    </w:p>
    <w:p>
      <w:r>
        <w:rPr>
          <w:b/>
        </w:rPr>
        <w:t>E. 5</w:t>
      </w:r>
    </w:p>
    <w:p>
      <w:r>
        <w:t>Il convient dès lors de prendre acte du retrait du recours et de rayer la cause du rôle.</w:t>
      </w:r>
    </w:p>
    <w:p>
      <w:r>
        <w:rPr>
          <w:b/>
        </w:rPr>
        <w:t>E. 6</w:t>
      </w:r>
    </w:p>
    <w:p>
      <w:r>
        <w:t>En l'espèce, dans la mesure où, à la date du retrait du recours, le dossier n’avait pas encore circulé auprès des membres de la Cour et qu’aucune opération importante n’a été faite, les frais de la procédure, constitués de l'émolument d'arrêt, par 220 fr. (art. 20 al. 1 TFIP [tarif des frais de procédure et indemnités en matière pénale du 28 septembre 2010; RSV 312.03.1]), seront laissés à la charge de l’Etat (art. 423 al. 1 CPP). Par ces motifs, la Chambre des recours pénale prononce : I. Il est pris acte du retrait du recours. II. La cause est rayée du rôle. III. Les frais d’arrêt, par 220 fr. (deux cent vingt francs), sont laissés à la charge de l’Etat.</w:t>
      </w:r>
    </w:p>
    <w:p>
      <w:r>
        <w:t>- 3 - IV. L’arrêt est exécutoire. Le président : Le greffier : Du Le présent arrêt, dont la rédaction a été approuvée à huis clos, est notifié, par l'envoi d'une copie complète, à : - Mme A.V.________,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