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PE18.012265 vom 23. September 2020</w:t>
      </w:r>
    </w:p>
    <w:p>
      <w:r>
        <w:t>VD Tribunal cantonal, 2020-09-23, FR</w:t>
      </w:r>
    </w:p>
    <w:p>
      <w:r>
        <w:rPr>
          <w:b/>
        </w:rPr>
        <w:t xml:space="preserve">Quelle: </w:t>
      </w:r>
      <w:r>
        <w:t>https://mcp.opencaselaw.ch/entscheid/vd_gerichte_PE18.012265</w:t>
      </w:r>
    </w:p>
    <w:p>
      <w:r>
        <w:t>FR: VD_GERICHTE PE18.012265 du 23 septembre 2020</w:t>
      </w:r>
    </w:p>
    <w:p>
      <w:r>
        <w:t>IT: VD_GERICHTE PE18.012265 del 23 settembre 2020</w:t>
      </w:r>
    </w:p>
    <w:p>
      <w:pPr>
        <w:pStyle w:val="Heading2"/>
      </w:pPr>
      <w:r>
        <w:t>Erwägungen</w:t>
      </w:r>
    </w:p>
    <w:p>
      <w:r>
        <w:rPr>
          <w:b/>
        </w:rPr>
        <w:t>E. 7</w:t>
      </w:r>
    </w:p>
    <w:p>
      <w:r>
        <w:t>L'appelant conteste la mise à sa charge d'une indemnité au sens de l'art. 433 CP en faveur de la partie civile, celle-ci ayant retiré sa plainte et n'ayant rien requis avant la fin des débats.</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La juste indemnité, notion qui laisse un large pouvoir d'appréciation au juge, couvre les dépenses et les frais nécessaires pour</w:t>
      </w:r>
    </w:p>
    <w:p>
      <w:r>
        <w:t>- 14 - faire valoir le point de vue de la partie plaignante dans la procédure pénale. Il s'agit en premier lieu des frais d'avocat de la partie plaignante. L'art. 433 al. 2 CPP, qui impose au plaignant de chiffrer et de justifier ses prétentions, s'explique par le fait que la maxime d'instruction ne s'applique pas à l'égard de la partie plaignante: celle-ci doit demeurer active et demander elle-même une indemnisation, sous peine de péremption.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Lorsque la cause fait, comme en l'espèce, l'objet d'une procédure de première instance (Titre 7, art. 328 ss CPP), il résulte du régime légal que les prétentions selon l'art. 433 CPP doivent être soumises au juge avant la fin des débats de manière à ce que celui-ci puisse les traiter dans son jugement conformément à l'art. 81 al. 4 let. b CPP (TF 6B_965/2013 du 3 décembre 2013).</w:t>
      </w:r>
    </w:p>
    <w:p>
      <w:r>
        <w:rPr>
          <w:b/>
        </w:rPr>
        <w:t>E. 7.2</w:t>
      </w:r>
    </w:p>
    <w:p>
      <w:r>
        <w:t>En l’espèce, le prévenu n’est pas astreint aux frais en lien avec les infractions dénoncées par la partie plaignante qui n’obtient dès lors pas gain de cause (cf. consid. 6.2 supra). Compte tenu de ce qui précède, force est de retenir que les conditions de l’art. 433 CPP ne sont pas réalisées et que l'intimée n'a droit à aucune indemnité pour ses dépenses obligatoires. L’appel doit être admis sur ce point.</w:t>
      </w:r>
    </w:p>
    <w:p>
      <w:r>
        <w:rPr>
          <w:b/>
        </w:rPr>
        <w:t>E. 8</w:t>
      </w:r>
    </w:p>
    <w:p>
      <w:r>
        <w:t>Dans la mesure où il a conclu à son acquittement, l’appelant ne conteste pas à proprement parler la quotité de la peine prononcée à son encontre. Il convient toutefois de la refixer dans la mesure où le séjour illégal ne peut être sanctionné (cf. consid. 5.2 supra).</w:t>
      </w:r>
    </w:p>
    <w:p>
      <w:r>
        <w:t>- 15 -</w:t>
      </w:r>
    </w:p>
    <w:p>
      <w:r>
        <w:rPr>
          <w:b/>
        </w:rPr>
        <w:t>E. 8.1</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8.2</w:t>
      </w:r>
    </w:p>
    <w:p>
      <w:r>
        <w:t>Le 26 septembre 2018, l’appelant a été condamné à une peine privative de liberté de 100 jours, pour falsification de la monnaie (le 28 mai 2018) et pour séjour illégal (du 15 février au 18 juillet 2018). Dans la présente procédure, il est reconnu coupable d’infraction à la LArm (le 7 mai 2018) et de séjour illégal (du 19 juillet 2018 au 28 novembre 2018). Seule une sanction condamnant l’infraction à la LArm doit être prononcée (cf. consid. 5.2 supra). Cette infraction est antérieure à la condamnation du 26 septembre 2018. Si tous les faits avaient fait l’objet d’un seul jugement, l’appelant aurait été condamné à une peine de 130 jours, à savoir 100 jours pour l’infraction la plus grave qu’est la falsification de</w:t>
      </w:r>
    </w:p>
    <w:p>
      <w:r>
        <w:t>- 16 - monnaie, augmentés par l’effet du concours de 30 jours pour l’infraction à la LArm. La peine privative de liberté complémentaire est dès lors fixée à 30 jours en lieu et place des 50 jours prononcés dans le jugement entrepris.</w:t>
      </w:r>
    </w:p>
    <w:p>
      <w:r>
        <w:rPr>
          <w:b/>
        </w:rPr>
        <w:t>E. 9</w:t>
      </w:r>
    </w:p>
    <w:p>
      <w:r>
        <w:t>En définitive, l’appel est partiellement admis et le prononcé rendu le 22 mai 2020 par le Président du Tribunal d’arrondissement de La Broye et du Nord vaudois est modifié dans le sens des considérants. Me Kathrin Gruber a produit une liste d'opérations faisant état de 4h.45 de travail (P. 57), ce qui ne prête pas le flanc à la critique. C’est ainsi une indemnité totale de 1'068 fr. 50, soit des honoraires de 855 fr., auxquels s’ajoutent des débours forfaitaires (2%) de 17 fr. 10, une vacation de 120 fr. et la TVA sur le tout (7,7%) de 76 fr. 40, qui sera allouée au défenseur d’office de W.________ pour la procédure d’appel. L’appelant obtient gain de cause s’agissant de la mise à sa charge des frais de justice de première instance, de l’indemnité allouée à l’intimée en vertu de l’art. 433 CPP et de la quotité de la peine. Sa culpabilité est en revanche confirmée pour le séjour illégal et la violation à la LArm. Vu l’issue de la cause, les frais de la procédure d'appel, par 2’718 fr. 50, constitués de l'émolument de jugement, par 1’650 fr. (art. 21 al. 1 TFIP [Tarif des frais de procédure et indemnités en matière pénale du 28 septembre 2010; BLV 312.03.1]), ainsi que de l’indemnité allouée au défenseur d’office, par 906 fr. 20, seront mis à raison d’un tiers, soit 1'139 fr. 50, à la charge de W.________ (art. 428 al. 1 CPP), le solde étant laissé à la charge de l’Etat. Il convient d’appliquer la même répartition pour les frais et l’indemnité au défenseur d’office de l’appelant concernant la procédure de première instance.</w:t>
      </w:r>
    </w:p>
    <w:p>
      <w:r>
        <w:t>- 17 - W.________ ne sera tenu de rembourser à l’Etat le tiers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