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PE18.011982 vom 8. November 2018</w:t>
      </w:r>
    </w:p>
    <w:p>
      <w:r>
        <w:t>VD Tribunal cantonal, 2018-11-08, FR</w:t>
      </w:r>
    </w:p>
    <w:p>
      <w:r>
        <w:rPr>
          <w:b/>
        </w:rPr>
        <w:t xml:space="preserve">Quelle: </w:t>
      </w:r>
      <w:r>
        <w:t>https://mcp.opencaselaw.ch/entscheid/vd_gerichte_PE18.011982</w:t>
      </w:r>
    </w:p>
    <w:p>
      <w:r>
        <w:t>FR: VD_GERICHTE PE18.011982 du 8 novembre 2018</w:t>
      </w:r>
    </w:p>
    <w:p>
      <w:r>
        <w:t>IT: VD_GERICHTE PE18.011982 del 8 novembre 2018</w:t>
      </w:r>
    </w:p>
    <w:p>
      <w:pPr>
        <w:pStyle w:val="Heading2"/>
      </w:pPr>
      <w:r>
        <w:t>Erwägungen</w:t>
      </w:r>
    </w:p>
    <w:p>
      <w:r>
        <w:rPr>
          <w:b/>
        </w:rPr>
        <w:t>E. 29</w:t>
      </w:r>
    </w:p>
    <w:p>
      <w:r>
        <w:t>et 30 al. 2 LCR ad art. 57 al. 1 et 58 al. 1 OCR), de changements de direction non annoncés (art. 39 LCR, art. 28 al. 1 OCR) et de non-respect de signaux de police (art. 27 al. 1 LCR), doit être rejeté. 7. À titre subsidiaire, l'appelant conteste la quotité de l'amende qui lui a été infligée, la jugeant trop sévère. 7.1 Selon l’art. 47 CP,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- 15 -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7.2 En l'espèce, l'appelant a commis quatre contraventions à la LCR et s'est ainsi rendu coupable de violation simple des règles de la circulation routière. Il a en outre déjà été sanctionné à deux reprises par le passé pour avoir conduit tout en manipulant son téléphone. Il persiste à nier les faits, ce qui démontre son absence de prise de conscience de la dangerosité de son comportement. Dans ces circonstances, et quoi qu'il en dise, l'amende de 400 fr. prononcée à son encontre réprime adéquatement son comportement fautif. La quotité du jour-amende n’est au demeurant pas contestée. La peine pécuniaire prononcée doit donc être confirmée. 8. L'appelant conteste sa condamnation au paiement des frais de la procédure. Ce grief, fondé sur la prémisse de son acquittement, doit être rejeté dans la mesure où l'appelant voit sa condamnation confirmée. 9. En définitive, l’appel de T.________ doit être rejeté et le jugement attaqué confirmé.</w:t>
      </w:r>
    </w:p>
    <w:p>
      <w:r>
        <w:t>- 16 - Vu l'issue de la cause, les frais de la procédure d’appel, constitués du seul émolument de jugement, par 1'260 fr. (art. 21 al. 1 TFIP [tarif des frais de procédure et indemnités en matière pénale du 28 septembre 2010; BLV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