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PE18.011898 vom 29. Oktober 2019</w:t>
      </w:r>
    </w:p>
    <w:p>
      <w:r>
        <w:t>VD Tribunal cantonal, 2019-10-29, FR</w:t>
      </w:r>
    </w:p>
    <w:p>
      <w:r>
        <w:rPr>
          <w:b/>
        </w:rPr>
        <w:t xml:space="preserve">Quelle: </w:t>
      </w:r>
      <w:r>
        <w:t>https://mcp.opencaselaw.ch/entscheid/vd_gerichte_PE18.011898</w:t>
      </w:r>
    </w:p>
    <w:p>
      <w:r>
        <w:t>FR: VD_GERICHTE PE18.011898 du 29 octobre 2019</w:t>
      </w:r>
    </w:p>
    <w:p>
      <w:r>
        <w:t>IT: VD_GERICHTE PE18.011898 del 29 ottobre 2019</w:t>
      </w:r>
    </w:p>
    <w:p>
      <w:pPr>
        <w:pStyle w:val="Heading2"/>
      </w:pPr>
      <w:r>
        <w:t>Erwägungen</w:t>
      </w:r>
    </w:p>
    <w:p>
      <w:r>
        <w:rPr>
          <w:b/>
        </w:rPr>
        <w:t>E. 1</w:t>
      </w:r>
    </w:p>
    <w:p>
      <w:r>
        <w:t>La question de la recevabilité de l’appel déposé par B.________ se pose en premier lieu.</w:t>
      </w:r>
    </w:p>
    <w:p>
      <w:r>
        <w:rPr>
          <w:b/>
        </w:rPr>
        <w:t>E. 1.1</w:t>
      </w:r>
    </w:p>
    <w:p>
      <w:r>
        <w:t>L'annonce d'appel au tribunal doit se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L'art. 403 al. 1 let. a CPP dispose que la juridiction d'appel rend par écrit une décision sur la recevabilité de l'appel lorsque la direction de la procédure ou une partie fait valoir que l'annonce ou la déclaration d'appel est tardive ou irrecevable. Lorsque l'un ou l'autre des délais prévu par l'art. 399 al. 1 et al. 3 CPP n'a pas été respecté, l'appel est irrecevable, à moins que la partie recourante ne bénéficie d'une restitution de délai au sens de l'art. 94 CPP (Kistler Vianin, in: Jeanneret et al. [éd.], Commentaire romand, Code de procédure pénale suisse [ci-après : CR CPP], 2e éd., Bâle 2019, n. 5 ad art. 403). Il incombe à la direction de la procédure de la juridiction d'appel de procéder d'office à un examen des conditions de recevabilité de l'appel et des conditions légales de la poursuite pénale. Ce n'est pas à la juridiction de première instance, auprès de laquelle l'annonce d'appel a été déposée de contrôler la recevabilité de l'appel ou la légalité de l'annonce d'appel, ce qui ne l'empêche pas de signaler un vice de forme à la juridiction d'appel (Moreillon/Parein-Reymond, Petit commentaire, Code de procédure pénale, 2e éd., Bâle 2016, nn. 12 et 13 ad art. 399 al. 2 CPP ; Schmid/Jositsch, Schweizerische Strafprozessordnung, Praxiskommentar, 3e éd., Zurich/St-Gall 2018, n. 5 ad art. 399 CPP ; Kistler Vianin, op. cit., n. 8 ad art. 399 CPP).</w:t>
      </w:r>
    </w:p>
    <w:p>
      <w:r>
        <w:t>- 7 -</w:t>
      </w:r>
    </w:p>
    <w:p>
      <w:r>
        <w:rPr>
          <w:b/>
        </w:rPr>
        <w:t>E. 1.2</w:t>
      </w:r>
    </w:p>
    <w:p>
      <w:r>
        <w:t>Si B.________ a signé la déclaration d'appel du 3 décembre 2019, il n’a toutefois pas déposé d'annonce d'appel dans le délai légal de 10 jours comme l’avait fait auparavant U.________. Par ailleurs, dans le cadre de la déclaration d'appel, il n'invoque, ni ne démontre aucune excuse valable en lien avec son défaut aux débats de première instance et n'invoque par conséquent aucun motif susceptible de modifier la décision attaquée. Dans ces conditions, sa déclaration d'appel doit être considérée comme étant irrecevable.</w:t>
      </w:r>
    </w:p>
    <w:p>
      <w:r>
        <w:rPr>
          <w:b/>
        </w:rPr>
        <w:t>E. 2.1</w:t>
      </w:r>
    </w:p>
    <w:p>
      <w:r>
        <w:t>Formé dans les formes et délais susmentionnés, l’appel de U.________ est pour sa part recevable. Il sera traité en procédure écrite, dès lors qu’il est dirigé contre un jugement rendu par un juge unique, que la présence de la prévenue aux débats d’appel n’est pas indispensable et que les parties y ont consenti (art. 406 al. 2 let. a et b CPP).</w:t>
      </w:r>
    </w:p>
    <w:p>
      <w:r>
        <w:rPr>
          <w:b/>
        </w:rPr>
        <w:t>E. 2.2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t>- 8 -</w:t>
      </w:r>
    </w:p>
    <w:p>
      <w:r>
        <w:rPr>
          <w:b/>
        </w:rPr>
        <w:t>E. 3</w:t>
      </w:r>
    </w:p>
    <w:p>
      <w:r>
        <w:t>L'appelante critique le fait de ne pas avoir bénéficié, lors de l'audience de première instance, d'un traducteur néerlandais et d'un avocat.</w:t>
      </w:r>
    </w:p>
    <w:p>
      <w:r>
        <w:rPr>
          <w:b/>
        </w:rPr>
        <w:t>E. 3.1</w:t>
      </w:r>
    </w:p>
    <w:p>
      <w:r>
        <w:t>En dehors des cas de défense obligatoire au sens de l’art. 130 CPP, hypothèses non réalisées en l'espèce, la direction de la procédure ordonne une défense d’office si le prévenu ne dispose pas des moyens nécessaires et que l’assistance d’un défenseur est justifiée pour sauvegarder ses intérêts (art. 132 al. 1 let. b CPP), ces deux conditions étant cumulatives (Harari/Aliberti, in : CR CPP, n. 55 ad art. 132 CPP). Cette seconde condition s'interprète à l'aune des critères mentionnés à l'art. 132 al. 2 et 3 CPP (Harari/Aliberti, op. cit., nn. 60 ss ad art. 132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 critères reprennent largement la jurisprudence du Tribunal fédéral en matière d'assistance judiciaire, rendue sur la base des art. 29 al. 3 Cst. et</w:t>
      </w:r>
    </w:p>
    <w:p>
      <w:r>
        <w:rPr>
          <w:b/>
        </w:rPr>
        <w:t>E. 3.2</w:t>
      </w:r>
    </w:p>
    <w:p>
      <w:r>
        <w:t>S'agissant de la question de la langue, on constate qu'un interprète était présent lors de l'audience de première instance. Il découle également du procès-verbal d'audience que la prévenue a indiqué qu'elle n'était pas en mesure de lire ses déclarations et qu’elle a accepté que l'interprète les lui relise en français. Dans ces conditions, l'appelante ne saurait se plaindre de l'absence de traducteur néerlandais. Par ailleurs, on relèvera qu’elle a indiqué qu'elle n'avait pas besoin d'interprète lors de son audition par la police (cf. PV aud. n° 1, D1). S'agissant de la question de la représentation, il peut être renvoyé aux considérants du prononcé rendu par la Présidente de la Cour de céans le 7 mai 2020 ainsi qu’à l’arrêt du Tribunal fédéral du 6 juillet 2020, en rappelant que les conditions pour désigner un défenseur d'office au sens de l'art. 132 al. 2 CPP ne sont pas réalisées, dès lors que la cause est de peu de gravité au vu de la peine encourue par la prévenue et qu’elle ne présente aucune difficulté particulière compte tenu des capacités de l'intéressée à s'exprimer en français et à comprendre ce qui lui est reproché. 4. U.________ conteste, d’une part, les déclarations qu’a faites T.________, représentante de la plaignante, aux débats de première instance, en soutenant que celles-ci ne seraient attestées par aucun document, et se prévaut, d’autre part, du fait que le contrat de leasing aurait été conclu avec la société D.________. 4.1 4.1.1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- 10 -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w:t>
      </w:r>
    </w:p>
    <w:p>
      <w:r>
        <w:t>- 11 -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4.1.2 Commet un abus de confiance, au sens de l'art. 138 ch. 1 al. 1 CP, celui qui, pour se procurer ou pour procurer à un tiers un enrichissement illégitime, se sera approprié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 TF 6B_54/2019 du 3 mai 2019 consid. 2.1).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 TF 6B_54/2019 du 3 mai 2019 consid. 2.1). D'un point de vue subjectif, l'auteur doit avoir agi intentionnellement et dans un dessein</w:t>
      </w:r>
    </w:p>
    <w:p>
      <w:r>
        <w:t>- 12 -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 TF 6B_54/2019 du 3 mai 2019 consid. 2.1). 4.2 Contrairement à ce que semble penser l'appelante, il résulte de la pièce 4/3 qu'elle a signé, le 16 mai 2014, le contrat de leasing non seulement au nom et pour le compte de la société D.________, mais également en son propre nom. Les conditions générales jointes à ce contrat précisent que la société de leasing jouit seule du droit de disposer du véhicule de leasing, que le preneur prend possession du véhicule en tant que représentant de la société de leasing et qu'en cas de résiliation de la relation contractuelle, le preneur de leasing est tenu de ramener le véhicule à la société de leasing à première réquisition. L'appelante était ainsi pleinement responsable et connaissait ses droits et obligations en lien avec le leasing en question. Par courrier du 15 novembre 2016, adressé à la société D.________, la plaignante a relevé que le délai supplémentaire de 10 jours pour paiement du montant dû avait expiré sans versement, qu'elle liquidait de ce fait le contrat selon les conditions générales du contrat, que le preneur de leasing perdait le droit d'utiliser et de posséder le véhicule et a par conséquent sommé la société précitée de restituer le véhicule dans les prochaines 48 heures. A la date du 15 novembre 2016, la prévenue était toujours inscrite en qualité d'associée de la société précitée. Le véhicule en leasing n'a pas été restitué à sa propriétaire. Au regard de ces éléments, on doit admettre que toutes les conditions objectives de l'abus de confiance sont réalisées.</w:t>
      </w:r>
    </w:p>
    <w:p>
      <w:r>
        <w:t>- 13 - S'agissant de l'aspect subjectif, l'appelante ne peut simplement affirmer ne jamais avoir utilisé le véhicule en question et ne pas en connaître le sort. En effet, d'une part, c'est elle qui a signé le contrat de leasing, de sorte qu'elle connaissait ses obligations envers la plaignante. D'autre part, elle connaissait le sort du véhicule, dès lors que celui-ci était employé par son associé et mari. Dans ces conditions, on doit également admettre que les conditions subjectives sont réalisées. Partant, l’appel de U.________ doit être rejeté. 5. En définitive, l’appel de B.________ doit être déclaré irrecevable et celui de U.________ rejeté. Le dispositif du jugement entrepris sera confirmé. Vu l'issue de la cause, les frais de la procédure d'appel, par 1'320 fr., constitués en l’espèce du seul émolument de jugement (art. 21 al. 1 et 2 TFIP), seront mis par trois quarts à la charge de U.________ et par un quart à la charge de B.________ (art. 428 al. 1 CPP).</w:t>
      </w:r>
    </w:p>
    <w:p>
      <w:r>
        <w:rPr>
          <w:b/>
        </w:rPr>
        <w:t>E. 6</w:t>
      </w:r>
    </w:p>
    <w:p>
      <w:r>
        <w:t>ch. 3 let. c CEDH (ATF 143 I 164 consid. 3.5 ; TF 1B_93/2018 du 29 mai 2018 consid. 3.1). Pour évaluer si l'affaire présente des difficultés que le prévenu ne pourrait pas surmonter sans l'aide d'un avocat, il y a lieu d’apprécier l’ensemble des circonstances concrètes. Il faut tenir compte notamment de la nature de la cause, de la complexité des questions de fait et de droit, des particularités que présentent les règles de procédure applicables, de l'aptitude concrète du requérant à mener seul la procédure, en fonction de ses capacités,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ou encore du fait que la partie adverse est assistée d'un avocat (ATF 143 I</w:t>
      </w:r>
    </w:p>
    <w:p>
      <w:r>
        <w:t>- 9 - 164 consid. 3.5 ; ATF 128 I 225 consid. 2.5.2 ; TF 1B_93/2018 du 29 mai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