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PE18.011855 vom 27. Dezember 2018</w:t>
      </w:r>
    </w:p>
    <w:p>
      <w:r>
        <w:t>VD Tribunal cantonal, 2018-12-27, FR</w:t>
      </w:r>
    </w:p>
    <w:p>
      <w:r>
        <w:rPr>
          <w:b/>
        </w:rPr>
        <w:t xml:space="preserve">Quelle: </w:t>
      </w:r>
      <w:r>
        <w:t>https://mcp.opencaselaw.ch/entscheid/vd_gerichte_PE18.011855</w:t>
      </w:r>
    </w:p>
    <w:p>
      <w:r>
        <w:t>FR: VD_GERICHTE PE18.011855 du 27 décembre 2018</w:t>
      </w:r>
    </w:p>
    <w:p>
      <w:r>
        <w:t>IT: VD_GERICHTE PE18.011855 del 27 dicembre 2018</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w:t>
      </w:r>
    </w:p>
    <w:p>
      <w:r>
        <w:t>- 4 -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19 juin 2017/403 et les références citées).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BLV 312.01]; art. 80 LOJV [loi vaudoise du 12 décembre 1979 d’organisation judiciaire; BLV 173.01]). En l’espèce, le recours a été interjeté en temps utile et dans les formes prescrites (cf. art. 385 al. 1 CPP) par une détenue qui a qualité pour recourir (art. 382 CPP), de sorte qu’il est recevable.</w:t>
      </w:r>
    </w:p>
    <w:p>
      <w:r>
        <w:rPr>
          <w:b/>
        </w:rPr>
        <w:t>E. 2.1</w:t>
      </w:r>
    </w:p>
    <w:p>
      <w:r>
        <w:t>En vertu de l’art. 228 al. 1 CPP, le prévenu peut présenter en tout temps une demande de libération de la détention provisoire. Cette disposition est applicable par analogie à la détention pour des motifs de sûreté en vertu du renvoi de l’art. 230 al. 5 CPP. Cette demande doit être admise si les conditions de la détention avant jugement ne sont pas ou plus remplies.</w:t>
      </w:r>
    </w:p>
    <w:p>
      <w:r>
        <w:rPr>
          <w:b/>
        </w:rPr>
        <w:t>E. 2.2</w:t>
      </w:r>
    </w:p>
    <w:p>
      <w:r>
        <w:t>Selon l’art. 221 al. 1 CPP, la détention provisoire et la détention pour des motifs de sûreté ne peuvent être ordonnées que lorsque le prévenu est fortement soupçonné d’avoir commis un crime ou un délit et qu’il y a sérieusement lieu de craindre qu’il ne se soustraie à la procédure pénale ou à la sanction prévisible en prenant la fuite (let. a), qu’il ne compromette la recherche de la vérité en exerçant une influence sur des personnes ou en altérant des moyens de preuve (let. b) ou qu’il ne compromette sérieusement la sécurité d’autrui par des crimes ou des</w:t>
      </w:r>
    </w:p>
    <w:p>
      <w:r>
        <w:t>- 5 - délits graves après avoir déjà commis des infractions du même genre (let. c).</w:t>
      </w:r>
    </w:p>
    <w:p>
      <w:r>
        <w:rPr>
          <w:b/>
        </w:rPr>
        <w:t>E. 3.1</w:t>
      </w:r>
    </w:p>
    <w:p>
      <w:r>
        <w:t>En l’occurrence, c’est à juste titre que la prévenue ne conteste pas l’existence de soupçons suffisants de culpabilité à son encontre. Elle a au demeurant admis les faits qui lui sont reprochés.</w:t>
      </w:r>
    </w:p>
    <w:p>
      <w:r>
        <w:rPr>
          <w:b/>
        </w:rPr>
        <w:t>E. 3.2.1</w:t>
      </w:r>
    </w:p>
    <w:p>
      <w:r>
        <w:t>Cela étant, la recourante fait d’abord valoir que sa présence aux débats ne serait pas à ce point indispensable qu’elle ne puisse être dispensée de comparution personnelle dès lors qu’elle serait alors rentrée au pays. Selon elle, rien ne permettrait de supposer qu’elle ne comparaitrait pas à l’audience, pour peu que la direction de la procédure lui accorde un sauf-conduit. Cette argumentation revient à contester le risque de fuite.</w:t>
      </w:r>
    </w:p>
    <w:p>
      <w:r>
        <w:rPr>
          <w:b/>
        </w:rPr>
        <w:t>E. 3.2.2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125 I 60 consid. 3a; ATF 117 Ia 69 consid. 4a).</w:t>
      </w:r>
    </w:p>
    <w:p>
      <w:r>
        <w:rPr>
          <w:b/>
        </w:rPr>
        <w:t>E. 3.2.3</w:t>
      </w:r>
    </w:p>
    <w:p>
      <w:r>
        <w:t>Le risque de fuite est manifeste dans le cas particulier. En effet, la recourante, lors de son interpellation, séjournait en Suisse au bénéfice du statut de touriste/visiteur. Elle n’a aucune attache dans notre pays. A l’évidence, elle n’est venue en Suisse que pour commettre la</w:t>
      </w:r>
    </w:p>
    <w:p>
      <w:r>
        <w:t>- 6 - longue série d’infractions contre le patrimoine dont elle doit répondre avec l’une de ses compatriotes, appréhendée en sa compagnie. Il est donc à craindre que, si elle venait à être libérée, elle ne regagne son pays pour se soustraire à la justice vaudoise, au bénéfice de la non-extradition des nationaux, ce d’autant qu’elle prétend disposer de perspectives professionnelles en Roumanie. Il est également à redouter que l’intéressée prenne la clandestinité en France, dès lors qu’elle séjournait à Annemasse avant de venir en Suisse, ce qui rendrait sa localisation encore plus aléatoire.</w:t>
      </w:r>
    </w:p>
    <w:p>
      <w:r>
        <w:rPr>
          <w:b/>
        </w:rPr>
        <w:t>E. 3.2.4</w:t>
      </w:r>
    </w:p>
    <w:p>
      <w:r>
        <w:t>On ne discerne au surplus pas quelle mesure de substitution (cf. l’art. 237 CPP) permettrait de pallier le risque de fuite. La recourante n’en propose du reste pas.</w:t>
      </w:r>
    </w:p>
    <w:p>
      <w:r>
        <w:rPr>
          <w:b/>
        </w:rPr>
        <w:t>E. 3.3.1</w:t>
      </w:r>
    </w:p>
    <w:p>
      <w:r>
        <w:t>La recourante soutient en outre que la détention commencerait à violer le principe de la proportionnalité (cf. l’art. 212 al. 3 CPP). Elle se prévaut de divers éléments qu’elle tient pour devant être retenus à décharge dans la fixation de la peine. Elle soutient en outre que les conditions d’un sursis au moins partiel sont réunies.</w:t>
      </w:r>
    </w:p>
    <w:p>
      <w:r>
        <w:rPr>
          <w:b/>
        </w:rPr>
        <w:t>E. 3.3.2</w:t>
      </w:r>
    </w:p>
    <w:p>
      <w:r>
        <w:t>La proportionnalité de la détention avant jugement doit être examinée au regard de l’ensemble des circonstances concrètes du cas d’espèce (ATF 133 I 168 consid. 4.1 et les arrêts cités). A cet égard, il est admis que le juge peut maintenir cette détention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139 IV 270 consid. 3.1; ATF 133 I 270 consid. 3.4.2). Il en va de même de la possibilité d’une libération conditionnelle (TF 1B_82/2013 du 27 mars 2013 consid. 3.2, non publié aux ATF 139 IV 179).</w:t>
      </w:r>
    </w:p>
    <w:p>
      <w:r>
        <w:t>- 7 -</w:t>
      </w:r>
    </w:p>
    <w:p>
      <w:r>
        <w:rPr>
          <w:b/>
        </w:rPr>
        <w:t>E. 3.3.3</w:t>
      </w:r>
    </w:p>
    <w:p>
      <w:r>
        <w:t>La recourante est détenue depuis le 18 juin 2018. Compte tenu des infractions dont elle est soupçonnée, tenues pour perpétrées en bande et par métier, la durée de la détention subie, respectivement à subir jusqu'à l’ouverture des débats, apparaît encore proportionnée à la peine privative de liberté susceptible d’être prononcée. Ses aveux et ses regrets n’affectent pas la qualification des infractions; ces possibles éléments à décharge semblent pondérés par le fait que la recourante s’est rendue en Suisse dans le seul dessein de commettre des infractions.</w:t>
      </w:r>
    </w:p>
    <w:p>
      <w:r>
        <w:rPr>
          <w:b/>
        </w:rPr>
        <w:t>E. 3.4</w:t>
      </w:r>
    </w:p>
    <w:p>
      <w:r>
        <w:t>Il s’ensuit que c’est à bon droit que le Tribunal des mesures de contrainte a rejeté la demande de libération de la détention pour des motifs de sûreté présentée le 26 novembre 2018 par la prévenue.</w:t>
      </w:r>
    </w:p>
    <w:p>
      <w:r>
        <w:rPr>
          <w:b/>
        </w:rPr>
        <w:t>E. 4</w:t>
      </w:r>
    </w:p>
    <w:p>
      <w:r>
        <w:t>En définitive, le recours, manifestement mal fondé, doit être rejeté sans échange d’écritures (art. 390 al. 2 CPP) et l’ordonnance attaquée confirmée. Les frais de la procédure de recours, constitués en l’espèce de l’émolument d'arrêt, par 770 fr. (art. 20 al. 1 TFIP [Tarif des frais de procédure et indemnités en matière pénale du 28 septembre 2010; BLV 312.03.1]), et des frais imputables à la défense d’office (art. 422 al. 1 et 2 let. a CPP), seront mis à la charge de la recourante, qui succombe (art. 428 al. 1 CPP). L’indemnité allouée au défenseur d’office sera arrêtée sur la base de deux heures de travail d’avocat, soit 360 fr., plus la TVA, par 27 fr. 70, soit à 387 fr. 70 au total. Le remboursement à l’Etat de l’indemnité allouée au défenseur d’office de la recourante ne sera toutefois exigible que pour autant que la situation économique de cette dernière le permette (art. 135 al. 4 CPP).</w:t>
      </w:r>
    </w:p>
    <w:p>
      <w:r>
        <w:t>- 8 - Par ces motifs, la Chambre des recours pénale prononce : I. Le recours est rejeté. II. L’ordonnance du 12 décembre 2018 est confirmée. III. L’indemnité allouée au défenseur d’office d’C.________ est fixée à 387 fr. 70 (trois cent huitante-sept francs et septante centimes). IV. Les frais de la procédure de recours, par 770 fr. (sept cent septante francs), ainsi que l’indemnité due au défenseur d’office d’C.________, par 387 fr. 70 (trois cent huitante-sept francs et septante centimes), sont mis à la charge de cette dernière. V. Le remboursement à l’Etat de l’indemnité allouée au chiffre III ci-dessus ne sera exigible que pour autant que la situation financière d’C.________ le permette. VI. L’arrêt est exécutoire. Le président : Le greffier : Du Le présent arrêt, dont la rédaction a été approuvée à huis clos, est notifié, par l'envoi d'une copie complète, à : - Me Baptiste Viredaz, avocat (pour C.________), - Ministère public central,</w:t>
      </w:r>
    </w:p>
    <w:p>
      <w:r>
        <w:t>- 9 - et communiqué à : - M. le Président du Tribunal des mesures de contrainte, - Mme la Procureure du Ministère public cantonal Strada, - M. le Président du Tribunal d’arrondissement de la Broye et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