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PE18.011818 vom 22. August 2018</w:t>
      </w:r>
    </w:p>
    <w:p>
      <w:r>
        <w:t>VD Tribunal cantonal, 2018-08-22, FR</w:t>
      </w:r>
    </w:p>
    <w:p>
      <w:r>
        <w:rPr>
          <w:b/>
        </w:rPr>
        <w:t xml:space="preserve">Quelle: </w:t>
      </w:r>
      <w:r>
        <w:t>https://mcp.opencaselaw.ch/entscheid/vd_gerichte_PE18.011818</w:t>
      </w:r>
    </w:p>
    <w:p>
      <w:r>
        <w:t>FR: VD_GERICHTE PE18.011818 du 22 août 2018</w:t>
      </w:r>
    </w:p>
    <w:p>
      <w:r>
        <w:t>IT: VD_GERICHTE PE18.011818 del 22 agosto 2018</w:t>
      </w:r>
    </w:p>
    <w:p>
      <w:pPr>
        <w:pStyle w:val="Heading2"/>
      </w:pPr>
      <w:r>
        <w:t>Erwägungen</w:t>
      </w:r>
    </w:p>
    <w:p>
      <w:r>
        <w:rPr>
          <w:b/>
        </w:rPr>
        <w:t>E. 1</w:t>
      </w:r>
    </w:p>
    <w:p>
      <w:r>
        <w:t>L'art. 395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les conséquences économiques accessoires d'une décision et que le montant litigieux n'excède pas 5'000 francs (let. b). Dans ce cas, un juge de la Chambre des recours pénale est compétent pour statuer en tant que juge unique (art. 13 al. 2 LVCPP [Loi d’introduction du code de procédure pénale suisse; RSV 312.01]). Tel est le cas en l'espèce, dès lors que le recours porte exclusivement sur la mise à la charge du plaignant (cf. consid. 2.3 ci-</w:t>
      </w:r>
    </w:p>
    <w:p>
      <w:r>
        <w:t>- 4 - dessous) des frais de procédure par 200 francs. Le recours relève donc de la compétence d'un membre de la Chambre des recours pénale.</w:t>
      </w:r>
    </w:p>
    <w:p>
      <w:r>
        <w:rPr>
          <w:b/>
        </w:rPr>
        <w:t>E. 2.1</w:t>
      </w:r>
    </w:p>
    <w:p>
      <w:r>
        <w:t>Le recourant demande le réexamen de la mise des frais de procédure à sa charge, expliquant que sa plainte résulterait de la limite de son entendement dans un domaine qui n’est pas le sien et qu’elle se serait manifestée dans un contexte de vie stressant qui serait lié au conflit qui le divise d’avec l’entreprise [...].</w:t>
      </w:r>
    </w:p>
    <w:p>
      <w:r>
        <w:rPr>
          <w:b/>
        </w:rPr>
        <w:t>E. 2.2.1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TF 6B_438/2013 du 18 juillet 2013 consid. 2.1). Contrairement à la version française, les versions allemande et italienne opèrent en effet une distinction entre la partie plaignante (Privatklägerschaft; accusatore privato) et le plaignant (antragstellende Person; querelante). Ainsi, la condition d'avoir agi de manière téméraire par négligence grave, ou d’avoir entravé le bon déroulement de la procédure ou rendu celle-ci plus difficile, ne s'applique qu'au plaignant. En revanche, cette condition ne s'applique pas à la partie plaignante, qui peut se voir chargée des frais sans autre condition (ATF 138 IV 248 consid. 4.2.2, JdT 2013 IV 191; TF 6B_438/2013 précité consid. 2.1). La personne qui porte plainte pénale et qui prend part à la procédure comme partie plaignante doit assumer entièrement le risque lié aux frais, tandis que la</w:t>
      </w:r>
    </w:p>
    <w:p>
      <w:r>
        <w:t>- 5 - personne qui porte plainte, mais renonce à ses droits de partie ne doit supporter les frais qu'en cas de comportement téméraire (ATF 138 IV 248 consid. 4.2.3, JdT 2013 IV 191; TF 6B_438/2013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TF 6B_438/2013 précité consid. 2.1).</w:t>
      </w:r>
    </w:p>
    <w:p>
      <w:r>
        <w:rPr>
          <w:b/>
        </w:rPr>
        <w:t>E. 2.2.2</w:t>
      </w:r>
    </w:p>
    <w:p>
      <w:r>
        <w:t>L'art. 427 al. 2 CPP ne mentionne certes pas expressément l'ordonnance de non-entrée en matière (art. 310 CPP) comme cas de figure permettant la mise des frais à la charge de la partie plaignante. Comme en matière d'indemnités prévues à l'art. 429 CPP (cf. ATF 139 IV 241 consid. 1 p. 242), on ne saurait en déduire un silence qualifié du législateur (sur cette notion, cf. ATF 139 I 57 consid. 5.2 p. 60). En effet, l'art. 310 al. 2 CPP prévoit expressément que les dispositions sur le classement s'appliquent à la procédure de non-entrée en matière. Il s'ensuit que la même réglementation prévaut pour une non-entrée en matière et un classement. L'art. 427 al. 2 let. a CPP est ainsi applicable en cas de prononcé d'une non-entrée en matière (TF 6B_446/2015 du 10 juin 2015 consid. 2.4.1 et les références citées). Toutefois, selon la jurisprudence, les frais ne peuvent être mis sans autre condition à la charge de la partie plaignante que si elle a participé activement à la procédure. En revanche, ce n'est que dans des cas particuliers que les frais peuvent être mis à la charge de la partie plaignante qui, hormis le dépôt de la plainte, ne participe pas activement à la procédure (cf. consid. 2.1 supra). De par sa nature, l'ordonnance de non-entrée en matière est en principe rendue rapidement, sans que des mesures d'instruction 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 (TF 6B_446/2015 du 10 juin 2015 consid.</w:t>
      </w:r>
    </w:p>
    <w:p>
      <w:r>
        <w:t>- 6 - 2.4.2). Tel est le cas lorsque la plainte pénale était d'emblée vouée à l'échec (TF 6B_446/2015 du 10 juin 2015 consid. 2.4.3).</w:t>
      </w:r>
    </w:p>
    <w:p>
      <w:r>
        <w:rPr>
          <w:b/>
        </w:rPr>
        <w:t>E. 2.3</w:t>
      </w:r>
    </w:p>
    <w:p>
      <w:r>
        <w:t>En l’espèce, si le recourant a déposé une plainte pénale, comme demandeur au pénal, il n’a à ce stade pas participé à la procédure. Seul le statut de plaignant peut dès lors lui être reconnu, de sorte que la mise des frais à sa charge suppose une attitude téméraire de sa part. Or, tel est le cas en l’espèce. Le recourant soutient qu’il n’a pas pu se rendre compte que les problèmes dénoncés relevaient du droit civil et administratif. Cet argument n’est pas convaincant. Ainsi que le relève le Ministère public, le recourant avait déposé plainte le 10 novembre 2015 pour dommages à la propriété, reprochant à l’intimé d’avoir tracé des lignes noires sur une partie de la cour lui appartenant. Ces faits étaient très similaires à ceux qui ont été dénoncés dans la deuxième plainte du 18 juin 2018, laquelle portait également sur des marquages au sol. Le recourant ayant été débouté, il était censé se renseigner avant de saisir la justice une deuxième fois. Dans ce contexte, la plainte qu’il a déposée le 18 juin 2018 était abusive et procédait d’une grave négligence. C’est dès lors à bon droit que le Procureur lui a mis les frais de procédure, par 200 fr., à sa charge.</w:t>
      </w:r>
    </w:p>
    <w:p>
      <w:r>
        <w:rPr>
          <w:b/>
        </w:rPr>
        <w:t>E. 3</w:t>
      </w:r>
    </w:p>
    <w:p>
      <w:r>
        <w:t>En définitive, le recours, manifestement mal fondé, doit être rejeté sans échange d’écritures (art. 390 al. 2 CPP) et l’ordonnance attaquée intégralement confirmée. Les frais de la procédure de recours, constitués en l’espèce du seul émolument d’arrêt (art. 422 al. 1 CPP), par 630 fr. (art. 20 al. 1 TFIP [Tarif des frais de procédure et indemnités en matière pénale du 28 septembre 2010; RSV 312.03.1]), sont mis à la charge du recourant, qui succombe (art. 428 al. 1 CPP). Toutefois, compte tenu des circonstances, notamment de la situation financière du recourant, et afin d’éviter une disproportion entre les frais contestés et les frais de la procédure de recours, ceux-ci seront exceptionnellement réduits à 200 fr. (art. 425 CPP).</w:t>
      </w:r>
    </w:p>
    <w:p>
      <w:r>
        <w:t>- 7 - Ces frais seront compensés avec le montant de 550 fr. déjà versé par le recourant à titre de sûretés (art. 383 al. 1 CPP ; art. 7 TFIP), de sorte que le solde de 350 fr. sera restitué au recourant. Par ces motifs, le juge unique prononce : I. Le recours est rejeté. II. L’ordonnance du 22 juin 2018 est confirmée. III. Les frais d’arrêt, réduits à 200 fr. (deux cents francs), sont mis à la charge de R.________. IV. Les frais mis à la charge du recourant au chiffre III ci-dessus sont compensés avec le montant de 550 fr. (cinq cent cinquante francs) déjà versé par R.________ à titre de sûretés, et le solde, par 350 fr. (trois cent cinquante francs) est restitué au recourant. V. L’arrêt est exécutoire. Le juge unique : La greffière : Du Le présent arrêt, dont la rédaction a été approuvée à huis clos, est notifié, par l'envoi d'une copie complète, à : - R.________, - Ministère public central, et communiqué à : - M. le Procureur de l’arrondissement du Nord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