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PE18.011817 vom 13. Dezember 2021</w:t>
      </w:r>
    </w:p>
    <w:p>
      <w:r>
        <w:t>VD Tribunal cantonal, 2021-12-13, FR</w:t>
      </w:r>
    </w:p>
    <w:p>
      <w:r>
        <w:rPr>
          <w:b/>
        </w:rPr>
        <w:t xml:space="preserve">Quelle: </w:t>
      </w:r>
      <w:r>
        <w:t>https://mcp.opencaselaw.ch/entscheid/vd_gerichte_PE18.011817</w:t>
      </w:r>
    </w:p>
    <w:p>
      <w:r>
        <w:t>FR: VD_GERICHTE PE18.011817 du 13 décembre 2021</w:t>
      </w:r>
    </w:p>
    <w:p>
      <w:r>
        <w:t>IT: VD_GERICHTE PE18.011817 del 13 dicembre 2021</w:t>
      </w:r>
    </w:p>
    <w:p>
      <w:pPr>
        <w:pStyle w:val="Heading2"/>
      </w:pPr>
      <w:r>
        <w:t>Erwägungen</w:t>
      </w:r>
    </w:p>
    <w:p>
      <w:r>
        <w:rPr>
          <w:b/>
        </w:rPr>
        <w:t>E. 6.1</w:t>
      </w:r>
    </w:p>
    <w:p>
      <w:r>
        <w:t>L’appelant conteste que les éléments constitutifs de l’escroquerie seraient réunis, affirmant que la déclaration de sinistre ne serait pas constitutive d’astuce, que l’assurance aurait dû faire des vérifications, qu’elle n’avait jamais considéré avoir été trompée et qu’il n’aurait pas eu de dessein d’enrichissement illégitime.</w:t>
      </w:r>
    </w:p>
    <w:p>
      <w:r>
        <w:rPr>
          <w:b/>
        </w:rPr>
        <w:t>E. 6.2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6B_653/2021 du 10 février 2022 consid. 1.3.1 ; TF 6B_1463/2020 du 5 janvier 2022 consid. 2.2.2 et les références citées). Pour qu'il y ait escroquerie, une simple tromperie ne suffit cependant pas ; il faut encore qu'elle soit astucieuse. Il y a tromperie astucieuse, au sens de l'art. 146 al. 1 CP, lorsque l'auteur recourt à un édifice de mensonges, à des manœuvres frauduleuses ou à une mise en</w:t>
      </w:r>
    </w:p>
    <w:p>
      <w:r>
        <w:t>- 20 -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 TF 6B_653/2021 précité consid. 1.3.1 et les réf. cit.).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6B_653/2021 précité consid. 1.3.1 et les réf. cit.).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 ATF 140 IV 11 consid. 2.3.2).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6B_645/2021 et 6B_646/2021 du 28 mars 2022 consid. 3.1).</w:t>
      </w:r>
    </w:p>
    <w:p>
      <w:r>
        <w:t>- 21 -</w:t>
      </w:r>
    </w:p>
    <w:p>
      <w:r>
        <w:rPr>
          <w:b/>
        </w:rPr>
        <w:t>E. 6.3</w:t>
      </w:r>
    </w:p>
    <w:p>
      <w:r>
        <w:t>En l’espèce, l’organisation d’un faux accident et l’annonce d’un faux sinistre auprès de l’assurance responsabilité civile sont constitutifs d’une tromperie astucieuse. L’assurance n’avait pas à vérifier si l’accident s’était réellement produit, puisque les photographies étaient parlantes. Bien que le schéma et la description des évènements fussent sommaires, les faits étaient plausibles et ne devaient ainsi pas susciter des vérifications supplémentaires. L’assurance n’avait donc aucune raison de se douter de la bonne foi de son assuré, qui avait par ailleurs neuf véhicules assurés auprès de cette compagnie. Au surplus, bien que l’appelant n’ait pas directement obtenu d’avantage financier, le dessein de procurer à un tiers un enrichissement illégitime est suffisant pour retenir l’escroquerie. Son ami H.________ a en effet obtenu une indemnité de 11'510 fr. 75 et la carrosserie que celui-ci exploitait a facturé 350 fr. pour l’Audi et 605 fr. pour la M.________. Comme on l’a vu, cette fraude permettait également au prévenu de se départir de son contrat de leasing, la société [...] ayant obtenu une indemnité de 20'664 fr. 10 (P. 5). Le dessein d’enrichissement illégitime doit donc être retenu. Il s’ensuit que les éléments constitutifs de l’infraction d’escroquerie sont réalisés, de sorte que la condamnation de l’appelant sera confirmée.</w:t>
      </w:r>
    </w:p>
    <w:p>
      <w:r>
        <w:rPr>
          <w:b/>
        </w:rPr>
        <w:t>E. 7</w:t>
      </w:r>
    </w:p>
    <w:p>
      <w:r>
        <w:t>La peine pécuniaire de 100 jours-amende à 30 fr. le jour avec sursis pendant 2 ans prononcée par le premier juge n'est pas contestée en tant que telle. Vérifiée d'office, elle est jugée adéquate, par adoption de motifs (art. 82 al. 4 CPP ; cf. jugement pp. 17 et 18).</w:t>
      </w:r>
    </w:p>
    <w:p>
      <w:r>
        <w:rPr>
          <w:b/>
        </w:rPr>
        <w:t>E. 8</w:t>
      </w:r>
    </w:p>
    <w:p>
      <w:r>
        <w:t>- 22 -</w:t>
      </w:r>
    </w:p>
    <w:p>
      <w:r>
        <w:rPr>
          <w:b/>
        </w:rPr>
        <w:t>E. 8.1</w:t>
      </w:r>
    </w:p>
    <w:p>
      <w:r>
        <w:t>L’appelant soutient encore qu’il faudrait laisser une partie des frais à la charge de l’Etat en raison de sa libération du chef de prévention de faux dans les titres.</w:t>
      </w:r>
    </w:p>
    <w:p>
      <w:r>
        <w:rPr>
          <w:b/>
        </w:rPr>
        <w:t>E. 8.2.1</w:t>
      </w:r>
    </w:p>
    <w:p>
      <w:r>
        <w:t>Selon l'art. 426 al. 1 CPP, le prévenu supporte les frais de procédure s'il est condamné. D'après la jurisprudence, la répartition des frais de procédure repose sur le principe selon lequel celui qui a causé les frais doit les supporter (ATF 147 IV 47 consid. 4.2.3 ; ATF 138 IV 248 consid. 4.4.1 ; TF 6B_212/2020 du 21 avril 2021 consid. 6.1 ; TF 6B_369/2018 du 7 février 2019 consid. 2.1, non publié aux ATF 145 IV 90). Ainsi, le prévenu doit supporter les frais en cas de condamnation (art. 426 al. 1 CPP), car il a occasionné, par son comportement, l'ouverture et la mise en œuvre de l'enquête pénale (ATF 138 IV 248 consid. 4.4.1 ; TF 6B_832/2020 du 22 février 2021 consid. 4.1). Un lien de causalité adéquate est nécessaire entre le comportement menant à la condamnation pénale et les coûts relatifs à l'enquête permettant de l'établir (TF 6B_53/2013 du 8 juillet 2013 consid. 4.1, non publié aux ATF 139 IV 243 ; TF 6B_136/2016 du 23 janvier 2017 consid. 4.1.1).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w:t>
      </w:r>
    </w:p>
    <w:p>
      <w:r>
        <w:t>- 23 - marge d'appréciation doit être laissée à l'autorité cantonale (TF 6B_1240/2018 du 14 mars 2019 consid. 1.1.1 ; TF 6B_572/2018 du 1er octobre 2018 consid. 5.1.1 et les arrêts cités).</w:t>
      </w:r>
    </w:p>
    <w:p>
      <w:r>
        <w:rPr>
          <w:b/>
        </w:rPr>
        <w:t>E. 8.2.2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w:t>
      </w:r>
    </w:p>
    <w:p>
      <w:r>
        <w:t>- 24 -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w:t>
      </w:r>
    </w:p>
    <w:p>
      <w:r>
        <w:rPr>
          <w:b/>
        </w:rPr>
        <w:t>E. 8.3</w:t>
      </w:r>
    </w:p>
    <w:p>
      <w:r>
        <w:t>En l’espèce, l’appelant a certes été libéré du chef de prévention de faux dans les titres, mais uniquement pour le motif que l’avis de sinistre n’était pas un titre au sens de l’art. 110 al. 4 CP. Le complexe de faits délictueux qui a fait l’objet de l’enquête a été intégralement retenu. En outre, la tromperie de l’assurance par le biais d’un avis de sinistre frauduleux constitue à l’évidence un comportement civilement répréhensible qui a causé l’ouverture de la procédure pénale (cf. art. 40 LCA [Loi fédérale sur le contrat d’assurance du 2 avril 1908 ; RS 221.229.1]). Le premier juge était donc fondé à mettre tous les frais de procédure à la charge du prévenu et, pour les mêmes raisons (cf. art. 430 al. 1 let. a CPP), de refuser de lui allouer une indemnité fondée sur l’art. 429 al. 1 let. a CPP.</w:t>
      </w:r>
    </w:p>
    <w:p>
      <w:r>
        <w:rPr>
          <w:b/>
        </w:rPr>
        <w:t>E. 9</w:t>
      </w:r>
    </w:p>
    <w:p>
      <w:r>
        <w:t>Au vu de ce qui précède, l’appel doit être rejeté et le jugement entrepris confirmé. Vu l’issue de la cause, les frais de la procédure d’appel, constitués des émoluments de jugement et d’audience, fixés à 2’380 fr. (18 pages et moins d’une heure d’audience ; cf. art. 21 al. 1 et 2 TFIP), seront mis à la charge de l’appelant, qui succombe (art. 428 al. 1 CPP).</w:t>
      </w:r>
    </w:p>
    <w:p>
      <w:r>
        <w:t>- 25 - Vu la condamnation de l’appelant, il n’y a pas lieu de lui allouer une indemnité fondée sur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