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PE18.011499 vom 4. März 2019</w:t>
      </w:r>
    </w:p>
    <w:p>
      <w:r>
        <w:t>VD Tribunal cantonal, 2019-03-04, FR</w:t>
      </w:r>
    </w:p>
    <w:p>
      <w:r>
        <w:rPr>
          <w:b/>
        </w:rPr>
        <w:t xml:space="preserve">Quelle: </w:t>
      </w:r>
      <w:r>
        <w:t>https://mcp.opencaselaw.ch/entscheid/vd_gerichte_PE18.011499</w:t>
      </w:r>
    </w:p>
    <w:p>
      <w:r>
        <w:t>FR: VD_GERICHTE PE18.011499 du 4 mars 2019</w:t>
      </w:r>
    </w:p>
    <w:p>
      <w:r>
        <w:t>IT: VD_GERICHTE PE18.011499 del 4 marzo 2019</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w:t>
      </w:r>
    </w:p>
    <w:p>
      <w:r>
        <w:t>- 4 -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 CREP 27 décembre 2017/877 consid. 2).</w:t>
      </w:r>
    </w:p>
    <w:p>
      <w:r>
        <w:rPr>
          <w:b/>
        </w:rPr>
        <w:t>E. 3.1</w:t>
      </w:r>
    </w:p>
    <w:p>
      <w:r>
        <w:t>Le recourant invoque tout d’abord une violation de son droit d’être entendu, au motif qu’il ne se serait écoulé que 19 minutes, le 18 février 2019, entre l’envoi de ses déterminations au Tribunal des mesures de contrainte et la réception de l’ordonnance litigieuse. Il soutient qu’un tel travail d’examen serait matériellement impossible, sauf à avoir pré- rédigé la quasi-totalité de l’ordonnance entreprise avant qu’il ait pu faire valoir ses moyens, son sentiment étant renforcé par une erreur dans la date de ses déterminations.</w:t>
      </w:r>
    </w:p>
    <w:p>
      <w:r>
        <w:rPr>
          <w:b/>
        </w:rPr>
        <w:t>E. 3.2</w:t>
      </w:r>
    </w:p>
    <w:p>
      <w:r>
        <w:t>; ATF 125 II 369 consid. 2c) et à l'autorité de recours d'exercer utilement son contrôle (ATF 126 I 97 consid. 2b ; ATF 124 II 146 ; TF 6B_1008/2017 du 5 avril 2018 consid. 2.2).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w:t>
      </w:r>
    </w:p>
    <w:p>
      <w:r>
        <w:t>- 5 - juge pertinents (ATF 143 III 65 précité ; ATF 134 I 83 consid. 4.1 ; TF 6B_1410/2017 du 15 juin 2018 consid. 2.1).</w:t>
      </w:r>
    </w:p>
    <w:p>
      <w:r>
        <w:rPr>
          <w:b/>
        </w:rPr>
        <w:t>E. 3.3</w:t>
      </w:r>
    </w:p>
    <w:p>
      <w:r>
        <w:t>En l’espèce, le chiffre 4 de l’ordonnance entreprise fait état des déterminations déposées par le recourant, des moyens soulevés par celui-ci et des conclusions prises. Au chiffre 5, le Tribunal des mesures de contrainte a en outre examiné les risques de fuite et de réitération (ch. 5 c), ainsi que la durée de la détention provisoire (ch. 5 d). Au vu de ce qui précède, force est de constater que l’ordonnance entreprise répond aux exigences minimales de motivation évoquées ci-dessus, de sorte qu’on ne discerne aucune violation du droit d’être entendu du recourant, celui-ci ayant au demeurant été en mesure d’attaquer l’ordonnance litigieuse en connaissance de cause. De manière générale, il y a lieu de rappeler que rien n’interdit au juge de rédiger un rapport ou un projet de décision en vue de l’audience ou pour la mise en forme de la décision finale ; pour le Tribunal des mesures de contrainte, cette préparation est nécessaire compte tenu des très courts délais impartis par la loi pour statuer et notifier les décisions (cf. art. 226 CPP). Dans ce cadre, le juge pourra ensuite intégrer, discuter et revoir le cas échéant son projet après avoir pris connaissance des déterminations de la partie, ce qui a été fait dans le cas présent. Partant, ce moyen doit être rejeté.</w:t>
      </w:r>
    </w:p>
    <w:p>
      <w:r>
        <w:rPr>
          <w:b/>
        </w:rPr>
        <w:t>E. 4.1</w:t>
      </w:r>
    </w:p>
    <w:p>
      <w:r>
        <w:t>Devant la Cour de céans, le recourant ne conteste pas, à juste titre, l’existence de soupçons suffisants de culpabilité à son encontre, ni même les risques de fuite et de réitération retenus par le Tribunal des mesures de contrainte. Il invoque en revanche une violation du principe de la proportionnalité. Il reproche au Tribunal des mesures de contrainte d’avoir motivé la durée de la détention provisoire de manière particulièrement sommaire et fait valoir que l’instruction serait simple et presque close, de sorte qu’aucun motif ne justifierait de prononcer d’emblée une détention provisoire d’une durée de trois mois.</w:t>
      </w:r>
    </w:p>
    <w:p>
      <w:r>
        <w:t>- 6 -</w:t>
      </w:r>
    </w:p>
    <w:p>
      <w:r>
        <w:rPr>
          <w:b/>
        </w:rPr>
        <w:t>E. 4.2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 ATF 133 I 168 consid. 4.1). Pour examiner la proportionnalité de la détention provisoire par rapport à la peine privative de liberté prévisible, il convient de prendre en compte la gravité de l’acte commis et sur lequel porte l’instruction et de prévoir ainsi plus ou moins la durée de la peine probable (Weder, Kommentar zur Schweizerischen Strafprozessordnung, 2e éd., 2014, n. 18 ad art. 212 CPP). L’autorité pénale ordonnant la détention provisoire doit donc procéder aux actes nécessaires pour apprécier la proportionnalité de la durée de la détention (ATF 133 I 270, SJ 2007 I 543). Si la durée de la détention se rapproche trop de celle de la peine privative de liberté à laquelle il faut s’attendre concrètement en cas de condamnation, le prévenu doit être libéré et aucune mesure de substitution ne peut plus être ordonnée (ATF 140 IV 74 consid. 2.3, JdT 2014 IV 289).</w:t>
      </w:r>
    </w:p>
    <w:p>
      <w:r>
        <w:rPr>
          <w:b/>
        </w:rPr>
        <w:t>E. 4.3</w:t>
      </w:r>
    </w:p>
    <w:p>
      <w:r>
        <w:t>En l’espèce, le Tribunal des mesures de contrainte a retenu que la durée de la privation de liberté sollicitée, à savoir trois mois, paraissait tout à fait proportionnée à l’état de la procédure, aux mesures d’instruction devant encore être mises en œuvre dans ce contexte et à la peine encourue par le recourant, de sorte qu’il n’y avait aucun motif pour la réduire, à ce premier stade, comme la défense le requérait. Cette motivation est suffisante, tant il est évident que, compte tenu de la gravité des faits reprochés au recourant, fortement soupçonné d’avoir commis sept cas de vols et d’utilisation frauduleuse d’un ordinateur dans le canton de Vaud et plusieurs autres cas dans d’autres</w:t>
      </w:r>
    </w:p>
    <w:p>
      <w:r>
        <w:t>- 7 - cantons, celui-ci s’expose à une peine privative de liberté d’une durée très sensiblement supérieure à celle de la détention provisoire qu’il aura subie jusqu’au 16 mai 2019 (cf. notamment art. 147 al. 2 CP [Code pénal suisse du 21 décembre 1937 ; RS 311.0]). Au vu de ce qui précède, la durée de trois mois ordonnée par le Tribunal des mesures de contrainte respecte manifestement le principe de la proportionnalité, de sorte que ce grief doit être rejeté.</w:t>
      </w:r>
    </w:p>
    <w:p>
      <w:r>
        <w:rPr>
          <w:b/>
        </w:rPr>
        <w:t>E. 5</w:t>
      </w:r>
    </w:p>
    <w:p>
      <w:r>
        <w:t>En définitive, le recours, manifestement mal fondé, doit être rejeté sans échange d’écritures (art. 390 al. 2 CPP) et l’ordonnance entreprise confirmée, l’appréciation du premier juge, à laquelle on peut se référer pour le surplus, ne prêtant pas le flanc à la critique.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18 février 2019 est confirmée.</w:t>
      </w:r>
    </w:p>
    <w:p>
      <w:r>
        <w:t>- 8 - III. L’indemnité allouée au défenseur d’office du recourant est fixée à 387 fr. 70 (trois cent huitante-sept francs et septante centimes). IV. Les frais d’arrêt, par 770 fr. (sept cent septante francs), ainsi que l’indemnité due au défenseur d’office du recourant, par 387 fr. 70 (trois cent huitante-sept francs et septante centimes), sont mis à la charge de ce dernier. V. Le remboursement à l'Etat de l'indemnité allouée au chiffre III ci-dessus ne sera exigible que pour autant que la situation économique du recourant le permette. VI. L’arrêt est exécutoire. Le président : La greffière : Du Le présent arrêt, dont la rédaction a été approuvée à huis clos, est notifié, par l'envoi d'une copie complète, à : - Me Nathanaël Pétermann, avocat (pour C.________), - Ministère public central, et communiqué à : - Mme la Présidente du Tribunal des mesures de contrainte, - M. le Procureur de l’arrondissement de Lausanne,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