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PE18.011123 vom 15. Oktober 2019</w:t>
      </w:r>
    </w:p>
    <w:p>
      <w:r>
        <w:t>VD Tribunal cantonal, 2019-10-15, FR</w:t>
      </w:r>
    </w:p>
    <w:p>
      <w:r>
        <w:rPr>
          <w:b/>
        </w:rPr>
        <w:t xml:space="preserve">Quelle: </w:t>
      </w:r>
      <w:r>
        <w:t>https://mcp.opencaselaw.ch/entscheid/vd_gerichte_PE18.011123</w:t>
      </w:r>
    </w:p>
    <w:p>
      <w:r>
        <w:t>FR: VD_GERICHTE PE18.011123 du 15 octobre 2019</w:t>
      </w:r>
    </w:p>
    <w:p>
      <w:r>
        <w:t>IT: VD_GERICHTE PE18.011123 del 15 ottobre 2019</w:t>
      </w:r>
    </w:p>
    <w:p>
      <w:pPr>
        <w:pStyle w:val="Heading2"/>
      </w:pPr>
      <w:r>
        <w:t>Erwägungen</w:t>
      </w:r>
    </w:p>
    <w:p>
      <w:r>
        <w:rPr>
          <w:b/>
        </w:rPr>
        <w:t>E. 1</w:t>
      </w:r>
    </w:p>
    <w:p>
      <w:r>
        <w:t>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dans le délai légal par un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w:t>
      </w:r>
    </w:p>
    <w:p>
      <w:r>
        <w:t>- 7 -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rPr>
          <w:b/>
        </w:rPr>
        <w:t>E. 3.1</w:t>
      </w:r>
    </w:p>
    <w:p>
      <w:r>
        <w:t>Dans un premier grief, le recourant conteste l’existence de soupçons suffisants de culpabilité à son encontre eu égard à la durée de la détention déjà subie. Il fait valoir que les soupçons qui pesaient sur lui se seraient amoindris au fil de l’enquête, indiquant qu’en dehors des déclarations des autres prévenus, il ne serait pas possible en l’état de déterminer sa participation à plus de trois vols.</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316 consid. 3.2 ; ATF 137 IV 122 consid. 3.2 ; TF 1B_372/2017 du 26 septembre 2017 consid. 2.1 ; Schmocker, op. cit., n. 8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1B_440/2019 du 3 octobre 2019 consid. 3.2 ; TF 1B_184/2019 du 9 mai 2019 consid. 5.1). A l'instar du juge du séquestre, le juge de la détention n'est toutefois pas</w:t>
      </w:r>
    </w:p>
    <w:p>
      <w:r>
        <w:t>- 8 -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précité ; ATF 124 I 208 consid. 3 ; TF 1B_308/2018 du 17 juillet 2018 consid. 2.1 ; Forster, in : Niggli/Heer/Wiprächtiger [éd.], Basler Kommentar, Schweizerische Strafprozessordnung, 2e éd., Bâle 2014, n. 3 ad art. 221 CPP).</w:t>
      </w:r>
    </w:p>
    <w:p>
      <w:r>
        <w:rPr>
          <w:b/>
        </w:rPr>
        <w:t>E. 3.3</w:t>
      </w:r>
    </w:p>
    <w:p>
      <w:r>
        <w:t>En l’espèce, les arguments du recourant ne permettent pas de remettre en cause l’appréciation de l’instance précédente quant au caractère suffisant – à ce stade de la procédure – des charges pesant sur lui. En effet, le prévenu a admis son implication dans trois vols et il est suspecté d’avoir participé, depuis le mois de mars 2018, en qualité de co- auteur, en bande, à au moins quinze vols simples et/ou à l’astuce dans des trains. Contrairement à ce que soutient le recourant, loin de s’être amoindris au fil de l’enquête, les soupçons à son encontre se sont renforcés en cours d’instruction, avec les analyses des contrôles téléphoniques et des images de vidéo-surveillance et à la suite de l’audition de son comparse E.________. A cet égard, il y a lieu de relever que le recourant est mis en cause par E.________ pour avoir commis trois vols en sa compagnie, que des images de vidéo-surveillance l’impliquent dans sept cas et que les contrôles téléphoniques ont mis en évidence ses relations et ses contacts téléphoniques fréquents avec des personnes impliquées dans les vols ou avec des receleurs. Il ressort en outre du dossier qu’il a menti sur sa présence en Suisse en 2018 et qu’il est mis en cause par son amie ou ex-amie I.________ pour commettre habituellement des vols dans des trains, y compris pendant la période en cause. En outre, il n’est pas contestable que le recourant a séjourné illégalement en Suisse, notamment aux dates où les vols en cause ont été commis. A ce stade de l’enquête, et quand bien même il nie la plupart des vols qui lui sont</w:t>
      </w:r>
    </w:p>
    <w:p>
      <w:r>
        <w:t>- 9 - reprochés, allant même jusqu’à nier sa présence sur les images de vidéo- surveillance le désignant, il existe donc manifestement des indices suffisamment sérieux de culpabilité à l’encontre du recourant pour justifier son maintien en détention provisoire, de sorte que la première condition de l’art. 221 al. 1 CPP apparaît réalisée.</w:t>
      </w:r>
    </w:p>
    <w:p>
      <w:r>
        <w:rPr>
          <w:b/>
        </w:rPr>
        <w:t>E. 4.1</w:t>
      </w:r>
    </w:p>
    <w:p>
      <w:r>
        <w:t>Le recourant ne conteste pas, à juste titre, l’existence des risques de fuite et de réitération retenus par le Tribunal des mesures de contrainte.</w:t>
      </w:r>
    </w:p>
    <w:p>
      <w:r>
        <w:rPr>
          <w:b/>
        </w:rPr>
        <w:t>E. 4.2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143 IV 160 consid. 4.3 ; TF 1B_174/2019 du 3 mai 2019 consid. 3.1). En vertu de l'art. 221 al. 1 let. c CPP, la détention provisoire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 TF 1B_219/2019 du 4 juin 2019 consid. 3.1).</w:t>
      </w:r>
    </w:p>
    <w:p>
      <w:r>
        <w:t>- 10 -</w:t>
      </w:r>
    </w:p>
    <w:p>
      <w:r>
        <w:rPr>
          <w:b/>
        </w:rPr>
        <w:t>E. 4.3</w:t>
      </w:r>
    </w:p>
    <w:p>
      <w:r>
        <w:t>Comme l’a retenu à juste titre le premier juge, le risque de fuite est avéré en l’espèce, dans la mesure où le prévenu est un ressortissant algérien sans titre de séjour et sous le coup d’une interdiction d’entrée en Suisse notifiée le 1er février 2017. Il n’a aucune attache dans ce pays, si ce n’est relativement aux délits qu’il y commet. De l’aveu même du recourant, son avenir est en France, où il envisage de se rendre au terme de sa peine (PV aud. 4 du 9 juillet 2019, R. 61). En outre, il s’expose, au vu des faits qui lui sont reprochés, à une lourde peine et à une mesure d’expulsion pénale, qui permettent de présumer d’un risque élevé de fuite s’il était relaxé. Les conditions de l’art. 221 al. 1 CPP étant alternatives (TF 1B_249/2011 du 7 juin 2011 consid. 2.4), l’existence d’un risque de fuite dispense la Cour de céans d’examiner si la détention provisoire s’impose également en raison d’un autre risque. Toutefois, force est de constater que c’est à juste titre que le Tribunal des mesures de contrainte a retenu que le risque de réitération était également réalisé dans le cas particulier, notamment compte tenu de la persistance du prévenu, mise en évidence par la lecture de ses antécédents, à vivre de vols, à l’instar de ceux qui lui sont reprochés dans le cadre de la présente cause, et à séjourner à cet effet en Suisse en l’absence de tout statut de séjour licite. Le prévenu n’ayant aucune source de revenu licite et les multiples décisions rendues à son encontre n’ayant eu aucun effet, une réitération de délits similaires contre le patrimoine notamment, commis en bande et/ou par métier (cf. TF 1B_379/2011 du 2 août 2011 consid. 2.8 et 2.9), est donc sérieusement à craindre. Partant, c’est à juste titre que le Tribunal des mesures de contrainte a retenu l’existence de risques de fuite et de réitération.</w:t>
      </w:r>
    </w:p>
    <w:p>
      <w:r>
        <w:rPr>
          <w:b/>
        </w:rPr>
        <w:t>E. 5.1</w:t>
      </w:r>
    </w:p>
    <w:p>
      <w:r>
        <w:t>Invoquant le principe de la proportionnalité, le recourant requiert que les possibilités de mettre en œuvre des mesures de substitution à la détention soient examinées, notamment sous la forme</w:t>
      </w:r>
    </w:p>
    <w:p>
      <w:r>
        <w:t>- 11 - d’une saisie de ses documents d’identité et de l’obligation de se présenter régulièrement à l’Hôtel de police de Lausanne.</w:t>
      </w:r>
    </w:p>
    <w:p>
      <w:r>
        <w:rPr>
          <w:b/>
        </w:rPr>
        <w:t>E. 5.2.1</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du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Schmocker, op. cit., n. 2 ad art. 237 CPP).</w:t>
      </w:r>
    </w:p>
    <w:p>
      <w:r>
        <w:t>- 12 -</w:t>
      </w:r>
    </w:p>
    <w:p>
      <w:r>
        <w:rPr>
          <w:b/>
        </w:rPr>
        <w:t>E. 5.2.2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 ATF 139 IV 270 précité).</w:t>
      </w:r>
    </w:p>
    <w:p>
      <w:r>
        <w:rPr>
          <w:b/>
        </w:rPr>
        <w:t>E. 5.3</w:t>
      </w:r>
    </w:p>
    <w:p>
      <w:r>
        <w:t>En l’espèce, les mesures de substitution proposées par le recourant n’apparaissent pas propres, en l’état, à contenir les risques de fuite et de réitération retenus. En effet, le dépôt de ses documents d’identité n’est pas apte à empêcher le recourant de quitter le territoire suisse pour se rendre en France, pays dans lequel il a ses attaches et envisage son avenir, pas plus que le fait de se présenter régulièrement à un poste de police, cette mesure étant tout au plus susceptible de permettre une réaction plus rapide des autorités. Quant au risque de réitération, la Cour de céans ne distingue pas de mesure apte à le pallier, le recourant n’en proposant au demeurant aucune. Pour le surplus, au terme de la prolongation ordonnée par le Tribunal des mesures de contrainte, le recourant aura subi neuf mois de détention provisoire, ce qui ne saurait être considéré comme une durée excessive au vu de la gravité des faits qui lui sont reprochés – les aggravantes de la bande et du métier étant vraisemblablement réalisées – et de ses lourds antécédents. La détention subie à ce jour, respectivement à subir jusqu’au 15 janvier 2020, demeure ainsi proportionnée à la peine concrètement encourue en cas de condamnation. Enfin, les trois mois de détention litigieux n’apparaissent pas exagérés compte tenu du fait, comme le recourant le souligne lui-même, que l’instruction est encore en cours et au vu des opérations de clôture d’enquête et, le cas échéant, de mise en accusation qui doivent encore être effectuées.</w:t>
      </w:r>
    </w:p>
    <w:p>
      <w:r>
        <w:t>- 13 -</w:t>
      </w:r>
    </w:p>
    <w:p>
      <w:r>
        <w:rPr>
          <w:b/>
        </w:rPr>
        <w:t>E. 6</w:t>
      </w:r>
    </w:p>
    <w:p>
      <w:r>
        <w:t>Il résulte de ce qui précède que le recours, manifestement mal fondé, doit être rejeté sans échange d’écritures (art. 390 al. 2 CPP) et l’ordonnance attaquée confirmée Les frais de la procédure de recours, constitués en l’espèce de l’émolument d’arrêt, par 1’320 fr. (art. 20 al. 1 TFIP [Tarif des frais de procédure et indemnités en matière pénale du 28 septembre 2010 ; BLV 312.03.1]), et des frais imputables à la défense d’office (art. 422 al. 1 et 2 let. a CPP), fixés à 540 fr., auxquels il convient d’ajouter des débours forfaitaires à concurrence de 2 %, par 10 fr. 80, plus la TVA, par 42 fr. 40, soit à 593 fr. 20 au total,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L’ordonnance du 4 octobre 2019 est confirmée. III. L’indemnité allouée au défenseur d’office de N.________ est fixée à 593 fr. 20 (cinq cent nonante-trois francs et vingt centimes). IV. Les frais d’arrêt, par 1’320 fr. (mille trois cent vingt francs), ainsi que l’indemnité due au défenseur d’office de N.________, par 593 fr. 20 (cinq cent nonante-trois francs et vingt centimes), sont mis à la charge de ce dernier.</w:t>
      </w:r>
    </w:p>
    <w:p>
      <w:r>
        <w:t>- 14 - V. Le remboursement à l’Etat de l’indemnité allouée au chiffre III ci-dessus ne sera exigible que pour autant que la situation financière de N.________ le permette. VI. L’arrêt est exécutoire. Le président : La greffière : Du Le présent arrêt, dont la rédaction a été approuvée à huis clos, est notifié, par l'envoi d'une copie complète, à : - Me Olivier Buttet, avocat (pour N.________), - Ministère public central, et communiqué à : - M. le Président du Tribunal des mesures de contrainte, - Mme la Procureure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w:t>
      </w:r>
    </w:p>
    <w:p>
      <w:r>
        <w:t>- 15 -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