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PE18.011085 vom 2. Juli 2020</w:t>
      </w:r>
    </w:p>
    <w:p>
      <w:r>
        <w:t>VD Tribunal cantonal, 2020-07-02, FR</w:t>
      </w:r>
    </w:p>
    <w:p>
      <w:r>
        <w:rPr>
          <w:b/>
        </w:rPr>
        <w:t xml:space="preserve">Quelle: </w:t>
      </w:r>
      <w:r>
        <w:t>https://mcp.opencaselaw.ch/entscheid/vd_gerichte_PE18.011085</w:t>
      </w:r>
    </w:p>
    <w:p>
      <w:r>
        <w:t>FR: VD_GERICHTE PE18.011085 du 2 juillet 2020</w:t>
      </w:r>
    </w:p>
    <w:p>
      <w:r>
        <w:t>IT: VD_GERICHTE PE18.011085 del 2 luglio 2020</w:t>
      </w:r>
    </w:p>
    <w:p>
      <w:pPr>
        <w:pStyle w:val="Heading2"/>
      </w:pPr>
      <w:r>
        <w:t>Erwägungen</w:t>
      </w:r>
    </w:p>
    <w:p>
      <w:r>
        <w:rPr>
          <w:b/>
        </w:rPr>
        <w:t>E. 30</w:t>
      </w:r>
    </w:p>
    <w:p>
      <w:r>
        <w:t>Cst. (Constitution fédérale de la Confédération suisse du 18 avril 1999; RS 101) et 6 § 1 CEDH (Convention de sauvegarde des droits de l’homme et des libertés fondamentales du 4 novembre 1950; RS 0.101). Au vu de l'importance fondamentale du droit d'opposition au regard de ces garanties, un retrait de l'opposition par actes concluants suppose que celui-ci résulte de l'ensemble du comportement de l'opposant, qui démontre qu'il se désintéresse de la suite de la procédure tout en étant conscient des droits dont il dispose (ATF 142 IV 158 précité consid. 3.1). La fiction légale de retrait découlant d'un défaut non excusé suppose également que l'opposant ait conscience des conséquences de son omission et qu'il renonce à ses droits en connaissance de cause, l’abus de droit étant réservé (ATF 142 IV 158 précité consid. 3.4; ATF 140 IV 82 précité consid. 2.3 et 2.5; Denys, Ordonnance pénale : Questions choisies et jurisprudence récente, SJ 2016 II 130, spéc. 133- 134). Selon la jurisprudence, l’absence doit être considérée comme valablement excusée non seulement en cas de force majeure, soit d’impossibilité objective de comparaître, mais aussi en cas d'impossibilité subjective, due à des circonstances personnelles ou à une erreur non imputable au défaillant (ATF 127 I 213 consid. 3a; TF 6B_1297/2018 du 6 février 2019 consid. 1.1 et les références citées). Pour justifier de son absence, la personne convoquée doit notamment informer sans délai le</w:t>
      </w:r>
    </w:p>
    <w:p>
      <w:r>
        <w:t>- 7 - Ministère public de l’empêchement, dans la mesure du possible et s’il est connu d’avance, déjà avant la date prévue pour l’accomplissement de l’acte de procédure. Lorsque l’empêchement ne permet pas au cité de se manifester sur-le-champ, il doit le faire aussitôt l’impossibilité objectivement levée (Chatton/Droz, in : Jeanneret et al. [éd.], Commentaire romand, Code de procédure pénale suisse, 2e éd., Bâle 2019, n. 4 ad art. 205 CPP). Les motifs seront examinés au cas par cas par l’autorité pénale, au besoin après avoir requis des explications complémentaires. Selon ces auteurs, outre l’hypothèse d’un accident, d’une maladie, du service militaire ou civil ou d’un autre service public affectant la disponibilité de la personne convoquée, d’autres motifs valables peuvent être envisagés, notamment la maladie d’un enfant ou d’un proche parent, la grève d’une compagnie aérienne, le décès très récent d’un proche ou d’autres situations d’exception, ou encore des engagements de la vie privée pris de longue date, avant la notification du mandat et dont l’annulation ou le report entraînerait des démarches ou des coûts conséquents (ibid.). Ces motifs peuvent être plus larges pour certains auteurs, soit des motifs professionnels importants (Weber, in : Niggli/Heer/Wiprächtiger [éd.], Basler Kommentar, op. cit., nn. 5-6 ad art. 205 CPP). Enfin, les pièces justificatives doivent être présentées spontanément. Sous peine de faire preuve de formalisme excessif, l’autorité permettra néanmoins à la personne convoquée de compléter ses motifs ou pièces justificatives si elle avait omis de tous les indiquer ou les réunir au moment de l’annonce de son empêchement (Chatton/Droz, op. et loc. cit.). 2.2 En l’espèce, le recourant ne conteste pas qu’il a été valablement cité à comparaître à l’audience du 10 juin 2020, ni qu’il a été avisé des conséquences d’un éventuel défaut. Il n’a cependant pas donné suite à l’obligation de comparaître consacrée à l’art. 205 al. 1 CPP, ni n’a invoqué un motif médical ou professionnel concret, ni produit la moindre pièce justificative. Il ne peut en outre pas se prévaloir de n’avoir pas eu le temps de préparer sa défense, puisque la première audience a été reportée pour des motifs sanitaires et qu’il avait conscience plus d’un mois avant la date de la nouvelle audience du fait que son premier avocat ne le</w:t>
      </w:r>
    </w:p>
    <w:p>
      <w:r>
        <w:t>- 8 - représenterait pas à celle-ci. Il avait donc parfaitement le temps de mandater un nouveau défenseur dans ce laps de temps. Il a toutefois attendu deux jours avant l’audience pour consulter un nouvel avocat et ses demandes pour solliciter un report de celle-ci sont parvenues à l’autorité intimée le jour précédent cette audience. De surcroît, contacté par téléphone par le greffe du Ministère public, qui lui a rappelé son obligation de comparaître et les conséquences d’un éventuel défaut, le recourant a assuré qu’il comparaîtrait. Au vu de ces circonstances, il y a lieu de considérer que le motif invoqué par D.________ pour solliciter le report de l’audience est un prétexte et qu’il a démontré, par son comportement contradictoire et ses demandes tardives, qu’il se désintéressait de la procédure. Un tel comportement constitue du reste un abus de droit – expressément réservé par la jurisprudence précitée –, étant rappelé que le principe de la bonne foi (art. 3 al. 2 let. a CPP) s’applique à toutes les parties à la procédure (cf. Moreillon/Parein- Reymond, Petit Commentaire CPP, 2e éd., Bâle 2016, n. 10 ad art. 3 CPP). Il serait en effet inacceptable qu’un justiciable puisse s’adresser à l’autorité pour solliciter le report d’une audience, respectivement se constitue un avocat et prétende ne pas avoir pu préparer sa défense au tout dernier moment, sans quoi il serait aisé à chacun d’éviter de comparaître. Protéger de tels procédés mettrait gravement en péril le fonctionnement du système judiciaire. Enfin, il n’apparaît pas que le Ministère public aurait dénié au recourant le droit d’être représenté par un avocat à son audience et on ne discerne dès lors aucune violation de l’art. 129 CPP. Il est cependant constant, dans le canton de Vaud, qu’un avocat ne doit pas accepter un mandat s’il n’est pas en mesure de comparaître à une audience déjà fixée ou s’il ne peut pas s’y faire représenter par un confrère. 3. Au vu de ce qui précède, le recours, manifestement mal fondé, doit être rejeté sans échange d'écritures (art. 390 al. 2 CPP) et l’ordonnance du 10 juin 2020 confirmée.</w:t>
      </w:r>
    </w:p>
    <w:p>
      <w:r>
        <w:t>- 9 - Les frais de la procédure de recours, constitués du seul émolument d’arrêt, par 880 fr. (art. 20 al. 1 TFIP [tarif des frais de procédure et indemnités en matière pénale du 28 septembre 2010; BLV 312.03.1]), seront mis à la charge du recourant, qui succombe (art. 428 al. 1 CPP). Il n’a en outre pas droit à une indemnité au sens de l’art. 429 CPP, les conditions de cette disposition n’étant pas remplies. Par ces motifs, la Chambre des recours pénale prononce : I. Le recours est rejeté. II. L’ordonnance du 10 juin 2020 est confirmée. III. Les frais d’arrêt, par 880 fr. (huit cent huitante francs), sont mis à la charge de D.________. IV. L’arrêt est exécutoire. Le président : Le greffier : Du Le présent arrêt, dont la rédaction a été approuvée à huis clos, est notifié, par l'envoi d'une copie complète, à : - Me […], avocat (pour D.________), - Ministère public central,</w:t>
      </w:r>
    </w:p>
    <w:p>
      <w:r>
        <w:t>- 10 - et communiqué à : - M. le Procureur de l’arrondissement du Nord vaudois, -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