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PE18.011031 vom 16. Juli 2019</w:t>
      </w:r>
    </w:p>
    <w:p>
      <w:r>
        <w:t>VD Tribunal cantonal, 2019-07-16, FR</w:t>
      </w:r>
    </w:p>
    <w:p>
      <w:r>
        <w:rPr>
          <w:b/>
        </w:rPr>
        <w:t xml:space="preserve">Quelle: </w:t>
      </w:r>
      <w:r>
        <w:t>https://mcp.opencaselaw.ch/entscheid/vd_gerichte_PE18.011031</w:t>
      </w:r>
    </w:p>
    <w:p>
      <w:r>
        <w:t>FR: VD_GERICHTE PE18.011031 du 16 juillet 2019</w:t>
      </w:r>
    </w:p>
    <w:p>
      <w:r>
        <w:t>IT: VD_GERICHTE PE18.011031 del 16 luglio 2019</w:t>
      </w:r>
    </w:p>
    <w:p>
      <w:pPr>
        <w:pStyle w:val="Heading2"/>
      </w:pPr>
      <w:r>
        <w:t>Erwägungen</w:t>
      </w:r>
    </w:p>
    <w:p>
      <w:r>
        <w:rPr>
          <w:b/>
        </w:rPr>
        <w:t>E. 10</w:t>
      </w:r>
    </w:p>
    <w:p>
      <w:r>
        <w:t>CPP; Kistler Vianin, Commentaire romand, Code de procédure pénale suisse, 2e éd., Bâle 2019, nn. 19-20 ad art. 398 CPP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w:t>
      </w:r>
    </w:p>
    <w:p>
      <w:r>
        <w:t>- 26 - tenu des éléments de preuve qui lui sont soumis, il aurait au contraire dû, objectivement, éprouver des doutes ;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4.2 En l’espèce, entendu aux débats et à l’audience d’appel, l’appelant a reconnu une empoignade avec la plaignante et non un étranglement. C’est donc déjà en vain qu’il soutient ne pas être violent, alors qu’il admet avoir saisi la plaignante à la mâchoire et avoir brièvement serré (jugt. p. 28). De surcroit, le témoin [...] a décrit aux débats avoir assisté à une autre altercation entre X.________ et B.________, au cours de laquelle celui-ci s’était montré agressif et avait tenté de lui faire avaler une échographie; il avait ensuite poussé violemment [...] qui s’était interposée, et frappé à coup de pied le conjoint de cette dernière, qui s’était interposé à son tour, puis la police avait dû intervenir (jugt. p. 13). L’appelant ne peut pas remettre en cause la crédibilité de ce témoin, dès lors qu’il a reconnu avoir mis l’échographie dans la bouche de la plaignante et avoir frappé le conjoint de [...] (jugt. p. 28). Les autres cas qui seront retenus ci-après démontrent encore – si besoin était – que le prévenu est capable de comportements violents. Quant aux témoignages de la mère du prévenu et de son ami proche [...], qui le dépeignent comme une personne calme, ceux-ci doivent être relativisés en raison des liens qui unissent ces personnes au prévenu. Cela étant, les faits admis par X.________ sont très proches de ceux décrits par la plaignante, sous réserve que B.________ fait valoir que celui-ci lui a serré le cou, et non la mâchoire, durant un laps de temps prolongé. Avec les premiers juges, il faut admettre que le récit de cette dernière correspond à la réalité, même si elle a donné des dates différentes et qu’on peine donc à situer cette agression dans le temps et, en particulier, à la mettre en relation avec une consultation à l’Hôpital [...], étant précisé qu’il y en a eu plusieurs en 2016</w:t>
      </w:r>
    </w:p>
    <w:p>
      <w:r>
        <w:t>- 27 - et en 2017 (cf. P. 39). Sur ce point, on relèvera que la plaignante a elle- même spontanément exposé qu’elle n’était pas sûre d’avoir consulté après cet épisode (PV aud. 7 l. 63 s.). Pour le surplus, un étranglement ne laisse pas forcément de traces et, au demeurant, on ne voit pas pourquoi la plaignante aurait décrit les effets de la strangulation par des vomissements si ce n’était pas la vérité. Enfin, on ne voit pas non plus en quoi le fait que des disputes au sein du couple étaient fréquentes – fait qui n’est pas contesté – permettrait de remettre en cause la crédibilité de la plaignante sur ces faits précisément décrits. Il y a dès lors lieu de considérer qu’en évoquant une empoignade plutôt qu’un étranglement, le prévenu minimise effectivement les faits, la version de la plaignante devant être retenue, aucun élément tangible ne permettant de remettre en cause sérieusement sa crédibilité. 4.3 L’appelant conteste ensuite la réalisation des éléments constitutifs de l’art. 129 CP, sans toutefois développer ses griefs à cet égard. 4.3.1 L'article 129 CP (Code pénal du 21 décembre 1937; RS 311.0)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TF 6B_876/2015 du 2 mai 2016 consid. 2.1 non publié aux ATF 142 IV 245). Il doit en outre s'agir d'un danger de mort, et non pas seulement d'un danger pour la santé ou l'intégrité corporelle (ATF 133 IV 1 consid. 5.1; ATF 101 IV 154 consid. 2a; TF 6B_876/2015 précité).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w:t>
      </w:r>
    </w:p>
    <w:p>
      <w:r>
        <w:t>- 28 - connexité direct unissant le danger et le comportement de l'auteur (ATF 121 IV 67 précité; TF 6B_1297/2017 du 26 juillet 2018 consid. 6.1 et les références citées). S’agissant plus précisément de la strangulation, la jurisprudence a admis qu’il pouvait y avoir danger de mort lorsque l’auteur étranglait sa victime avec une certaine intensité. Le Tribunal fédéral a retenu une mise en danger de la vie d’autrui à la charge d’un auteur qui avait étranglé sa victime, sans pour autant lui causer de sérieuses lésions et sans qu’elle ait perdu connaissance. La Haute Cour a relevé que, selon les médecins légistes, la violence décrite pouvait entraîner, bien que rarement, une mort par réflexe cardio-inhibiteur ou par asphyxie, si elle était suffisamment forte et longue (ATF 124 IV 53; TF 6B_265/2017 du 9 février 2018 consid. 2.3.3.2; TF 54/2013 du 23 août 2013; TF 6B_307/2013 du 13 juin 2013 consid. 4.1; TF 6B_87/2013 du 15 mai 2013 consid. 3). Du point de vue subjectif, il faut que l’auteur ait agi intentionnellement et que l’acte ait été commis sans scrupules. L’auteur doit avoir conscience du danger de mort imminent pour autrui et adopter volontairement un comportement qui le crée (ATF 121 IV 67 précité consid. 2d). En revanche, il ne veut pas, même à titre éventuel, la réalisation du risque, sans quoi il s’agirait d’une tentative d’homicide (ATF 107 IV 163 consid. 3). Le dol éventuel ne suffit pas (TF 6B_1297/2017 précité; TF 6S.3/2006 du 13 mars 2006; TF 6S.426/2003 du 1er mars 2004). Il y a absence de scrupules lorsque, compte tenu des moyens utilisés, des mobiles de l'auteur, de l’état de ce dernier et de l’ensemble des circonstances concrètes, l’acte apparaît comme contraire aux principes généralement admis des bonnes mœurs et de la morale. La mise en danger doit léser gravement le sentiment moral (ATF 114 IV 103 consid. 2a). Elle doit être retenue dès que le comportement de l’auteur demeure dépourvu de justification particulière ou ne répond pas à un but au moins partiellement légitime (Dupuis et alii, Petit commentaire CP, 2e éd., Bâle 2017, n. 14 ad art. 129 CP). Il faut en quelque sorte qu’elle</w:t>
      </w:r>
    </w:p>
    <w:p>
      <w:r>
        <w:t>- 29 - atteigne un degré qualifié de réprobation (TF 6S.192/2004 du 26 août 2004 consid. 2.4). 4.3.2 En l’occurrence, l’étranglement de B.________ a été d’une intensité et d’une durée suffisante pour provoquer une mise en danger de sa vie, puisque cette strangulation a provoqué des vomissements et que cette dernière aurait donc pu s’étouffer. Cela étant, l’acte commis n’est justifiable par aucune circonstance particulière. A tout le moins, doit-on retenir que le prévenu a agi sans scrupules en déployant une violence totalement disproportionnée à la dispute. 4.4 Compte tenu de ce qui précède, la condamnation de X.________ pour mise en danger de la vie d’autrui doit être confirmée. 5. L’appelant conteste ensuite sa condamnation pour viol, tentative de viol et contrainte sexuelle. Au terme d’une argumentation pour le moins confuse, celui-ci soutient n’avoir jamais commis de viol ni exercé de contrainte sur la plaignante, tout en admettant l’existence de dérapages et d’abus. La version de la plaignante ne serait pas plus crédible que la sienne, en raison des nombreuses incohérences et des exagérations dont elle aurait fait preuve. L’appelant invoque le comportement ambivalent de l’intéressée, qui a poursuivi une relation intime avec lui malgré ces accusations. Celle-ci n’aurait rien d’une personne incapable de se défendre, au vu des messages qu’elle envoyait au prévenu et de ses réactions de défense lors des faits. L’appelant affirme en outre s’être toujours plié aux quatre volontés de la plaignante, en raison du chantage affectif qu’elle aurait exercé, en menaçant de rompre et de le priver de voir sa fille, de sorte qu’il aurait pris l’habitude de s’excuser lorsqu’il était accusé à tort. Il expose encore que la plaignante n’aurait aucune gêne à parler en public des abus qu’elle aurait subis, ce qui attesterait de la fausseté des accusations de tels abus. Enfin, les parties auraient eu pour habitude sexuelle des jeux de domination et de soumission.</w:t>
      </w:r>
    </w:p>
    <w:p>
      <w:r>
        <w:t>- 30 - 5.1 Les principes découlant de l’art. 10 CPP ont été rappelés au consid. 4.1 supra. 5.2 En l’espèce, pour retenir la version de la plaignante et l’existence d’atteintes à l’intégrité sexuelle de celle-ci, les premiers juges ont en premier lieu tenu compte des déclarations du prévenu, telles qu’elles ressortent de la page 3 de son procès-verbal d’audition d’arrestation du 8 juin 2018 (cf. PV aud. 5 l. 77 ss et jugt. p. 45). Il en ressort notamment que l’intéressé a reconnu, pour le cas 2 de l’acte d’accusation, s’être introduit chez la plaignante, s’être déshabillé, s’être allongé sur l’intéressée et lui avoir écarté les jambes, puis l’avoir embrassé dans le cou, ce qui l’avait réveillée. Elle lui avait alors mis une ou deux claques. Il se serait tout de suite arrêté, réalisant ce qu’il était en train de faire, et a précisé qu’il n’était vraiment pas bien, qu’il s’en voulait mais qu’il n’y avait pas eu de pénétration. S’agissant du cas 3 de l’acte d’accusation, il a exposé que la plaignante le provoquait sans arrêt et qu’un soir il ne s’était pas contrôlé, s’était masturbé et avait éjaculé sur elle. Selon lui, elle n’avait pas résisté beaucoup. Il a précisé qu’il ne niait pas l’abus mais contestait la façon dont elle l’avait décrit. C’est à juste titre que les premiers juges se sont fondés sur les aveux partiels du prévenu. S’il est vrai que la plaignante a été confuse s’agissant de la chronologie des agressions sexuelles, cela n’ôte pas toute crédibilité à ses accusations. Elle n’a pas cherché à l’accabler (cf. PV aud. 4, R. 6 : « Hormis les deux cas précités, cela se passait bien. Lorsque je n’avais pas envie, il ne me forçait pas et respectait. (…) Pour vous répondre, hormis les deux cas, je n’ai pas été violentée sexuellement par [...] »). La plaignante n’a en outre pas nié que des jeux sexuels avaient pu avoir lieu lorsqu’elle était en couple avec le prévenu, mais que s’agissant des agressions dénoncées, il ne pouvait pas avoir cru qu’elle était consentante puisqu’elle avait résisté et/ou pleuré (cf. PV aud. 7 l. 137 ss). La version de la plaignante, qui est celle retenue par l’acte d’accusation, est par ailleurs confirmée par les messages téléphoniques échangés entre les parties durant la période des faits (cf. jugt. p. 46 et messages annexés au PV aud. 4), ainsi que par le compte rendu du Dr [...], en présence</w:t>
      </w:r>
    </w:p>
    <w:p>
      <w:r>
        <w:t>- 31 - duquel les abus ont été évoqués entre les parties, le prévenu ayant exprimé des regrets et déclaré s’être laissé emporter par ses émotions dans un moment de faiblesse (cf. P. 19 et 96). L’argumentation de l’appelant selon laquelle il n'aurait en réalité fait que s'excuser et n'aurait pas pu s'expliquer ne change rien au fait que les violences ont été évoquées et qu’il s’en est excusé. En définitive, X.________ a donc bien reconnu les faits, avec ses mots, en s’excusant de ne pas avoir pu se contrôler et en regrettant ses moments de faiblesse. Les soi-disant contradictions que l’appelant prête à B.________ dans son appel portent soit sur des éléments de détail, soit n’ont simplement rien à voir avec les faits de la cause. Elles ne permettent en tous les cas pas d’en déduire que l’intéressée serait prête, pour on ne sait quel motif, à porter de graves accusations à son encontre, ni même qu’elle ferait preuve d’exagérations. Il a au contraire déjà été exposé ci-avant qu’elle n’avait pas cherché à l’accabler. Pour le surplus, il est vrai que, comme souvent dans une relation durable, B.________ s’est montrée ambivalente, la relation avec le prévenu ayant été qualifiée à juste titre par les premiers juges de « chaotique », c’est-à-dire faite de ruptures et de reprises. Cela n’exclut toutefois aucunement que la plaignante ait été contrainte sexuellement à deux reprise par le prévenu. Cette dernière a du reste expliqué de manière crédible et convaincante qu’après les épisodes de violence, le prévenu redevenait gentil et avenant avec elle (cf. PV aud. 4 R. 5). Enfin, les explications du prévenu selon lesquelles il aurait admis lesdits abus en raison de son amour pour la plaignante et pour éviter tout conflit ne sont pas nouvelles, et ne sont pas crédibles. Comme l’ont relevé les premiers juges, vu la gravité des accusations dont il est question, il s’agit à l’évidence d’un moyen de défense, maladroit de surcroît. La condamnation de X.________ pour viol, tentative de viol et contrainte sexuelle doit donc être confirmée, la qualification juridique de ces infractions n’étant au demeurant pas contestée. On précisera que, pour le cas 3 de l’acte d’accusation, la tentative de viol entre en concours réel avec la contrainte sexuelle, les actes de masturbation imposés à la victime, avec éjaculation sur elle, n’étant pas absorbés par la tentative de viol.</w:t>
      </w:r>
    </w:p>
    <w:p>
      <w:r>
        <w:t>- 32 - 6. L’appelant conteste encore sa condamnation pour tentative de menaces pour le cas 4 de l’acte d’accusation. Il soutient que lors de son audition du 8 juin 2018, il était alcoolisé et sous le choc en raison de sa blessure à la main, de sorte qu’aucune crédibilité ne pourrait être accordée à ses déclarations. Selon lui, il serait difficile d’imaginer que dans cet état, il ait pu poursuivre et menacer un homme plus grand et plus fort que lui. Les déclarations des plaignants seraient contradictoires et auraient été modifiées pour faire correspondre leurs versions, alors que le prévenu aurait toujours déclaré qu’il s’était senti agressé par C.________, qui aurait lui-même reconnu s’être approché de lui. Subsidiairement, l’appelant fait valoir qu’il aurait agi en état de légitime défense en brandissant un couteau, et qu’il y aurait à tout le moins lieu de retenir qu’il croyait à tort que le plaignant représentait une menace d’attaque. 6.1 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Les menaces de lésions corporelles graves ou de mort doivent être considérées comme des menaces graves au sens de l'art. 180 CP (TF 6B_1428/2016 du 3 octobre</w:t>
      </w:r>
    </w:p>
    <w:p>
      <w:r>
        <w:t>- 33 - 2017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ATF 119 IV 1 consid. 5a;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3e éd., Berne 2010, n. 8 ad art. 180 CP). Subjectivement, l'auteur doit avoir l'intention non seulement de proférer des menaces graves, mais aussi d'alarmer ou d'effrayer le destinataire. Le dol éventuel suffit (TF 6B_787/2018 du 1er octobre 2018 consid. 3.1; TF 6B_1009/2014 du 2 avril 2015 consid. 3.1). 6.2 En l’espèce, les dénégations de l’appelant ne sont à nouveau pas crédibles, celui-ci ayant à l’évidence adopté un comportement menaçant au vu des circonstances. Il est constant qu’il est entré de force dans le logement de B.________ et qu’il s’est avancé en direction de C.________, tout en étant muni d’une arme et en affirmant qu’il allait le planter. Le prévenu ne conteste du reste pas sa condamnation pour violation de domicile ni avoir exhibé un couteau. Il ne pouvait pas ignorer qu’il était n’était pas le bienvenu chez la plaignante, puisqu’il avait été sommé de ne pas venir, puis de quitter l’appartement, à plusieurs reprises. Son attitude ne pouvait qu’être perçue comme une menace quoi qu’il en dise et il importe peu que le plaignant, qui a pris la fuite, ait eu un gabarit plus imposant. Les versions des plaignants ne sont nullement contradictoires, mais tout au plus légèrement nuancées, terme utilisé par l’appelant lui-même. C.________ a pratiquement fait la même description</w:t>
      </w:r>
    </w:p>
    <w:p>
      <w:r>
        <w:t>- 34 - de l’altercation entre son audition du 7 juin 2018 (PV aud. 1) et son audition aux débats, en précisant la première fois que le prévenu lui courrait après avec le couteau dans la main et la seconde fois qu’il avançait vers lui avec ledit couteau – ce qui peut correspondre à deux scènes s’étant succédées puisqu’il est établi que le prévenu a bien traversé l’appartement pour finalement être enfermé sur la terrasse –, soit un comportement menaçant quoi qu’il en soit. Quant à B.________, elle a fait une description pratiquement identique des faits dès sa première audition (PV aud. 2 p. 2 et PV aud. 7 p. 3). Enfin, en faisant irruption dans un appartement dans les circonstances décrites ci-avant, on ne voit pas comment X.________ aurait pu se sentir menacé d’une quelconque manière, même si le plaignant s’est approché pour venir voir ce qui se passait. On ne discerne pas non plus en quoi l’état du prévenu, qui était quelque peu alcoolisé et blessé à l’index, aurait été tel qu’il l’aurait amené à croire éventuellement par erreur qu’il était agressé. Sa thèse selon laquelle il se serait trouvé dans une situation de légitime défense ou de défense excusable est dès lors irréaliste et incompatible avec les faits retenus. Il s’ensuit que la condamnation de X.________ pour tentative de menaces doit être confirmée. 7. L’appelant fait valoir que même si sa condamnation pour toutes les infractions retenues en première instance devait être confirmée, il conviendrait de prononcer une peine pécuniaire ou de réduire la peine afin que celle-ci soit compatible avec l’obtention d’un sursis total, avec un délai d’épreuve d’une durée de deux ans. Il invoque une culpabilité légère s’agissant notamment des infractions à caractère sexuel, dès lors que « les parties ont toujours entretenu une vie sexuelle très active ». Il se prévaut également de son casier judiciaire vierge et d’un risque de récidive inexistant. En particulier, l’expertise psychiatrique ne retiendrait l’existence d’un tel risque qu’en cas de nouvelle relation de couple investie, contexte qui ne serait plus d’actualité. Il conteste enfin la mise en place de règles de conduite, soit en particulier de l’obligation lui étant faite</w:t>
      </w:r>
    </w:p>
    <w:p>
      <w:r>
        <w:t>- 35 - de se soumettre à un suivi psychothérapeutique ambulatoire, dès lors que l’expertise conclurait que lui imposer un tel suivi n’offrirait pas de plus- value notable, voire pourrait être susceptible d’en diminuer l’efficacité. 7.1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7.1.2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w:t>
      </w:r>
    </w:p>
    <w:p>
      <w:r>
        <w:t>- 36 -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7.1.3 L'art. 42 al. 1 CP prévoit que le juge suspend en règle générale l’exécution d’une peine pécuniaire ou d’une peine privative de liberté de deux ans au plus lorsqu’une peine ferme ne paraît pas nécessaire pour détourner l’auteur d’autres crimes ou délits. Conformément à l’art. 43 al. 1 CP, le juge peut suspendre partiellement l'exécution d'une peine privative de liberté d'un an au moins et de trois ans au plus afin de tenir compte de façon appropriée de la faute de l'auteur. L'octroi du sursis au sens de l'art. 42 CP est la règle et le sursis partiel au sens de l’art. 43 CP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w:t>
      </w:r>
    </w:p>
    <w:p>
      <w:r>
        <w:t>- 37 -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De jurisprudence constante, les conditions subjectives auxquelles l'art. 42 CP soumet l'octroi du sursis intégral s'appliquent également à l'octroi du sursis partiel prévu à l'art. 43 CP (ATF 139 IV 270 consid. 3.3 ; ATF 134 IV 1 consid. 5.3.1). 7.1.4 Selon l'art. 44 al. 1 CP, si le juge suspend totalement ou partiellement l’exécution d’une peine, il impartit au condamné un délai d’épreuve de deux à cinq ans.</w:t>
      </w:r>
    </w:p>
    <w:p>
      <w:r>
        <w:t>- 38 - Aux termes de l'art. 44 al. 2 CP, le juge qui suspend l'exécution de la peine peut imposer certaines règles de conduite au condamné pour la durée du délai d'épreuve. La loi prévoit expressément que la règle de conduite peut porter sur la réparation du dommage (cf. art. 94 CP). Le choix et le contenu des règles de conduite relèvent du pouvoir d'appréciation de l'autorité cantonale (ATF 130 IV 1 consid. 2.1; TF 6B_166/2016 du 7 juillet 2016 consid. 4.2). Les règles de conduite imposées en même temps que le sursis et visant à prévenir un risque de récidive peuvent s'avérer déterminantes dans l'établissement du pronostic (Dupuis et alii, op. cit., n. 11 ad art. 42 CP; cf. ATF 128 IV 193 consid. 3c). 7.2 7.2.1 En l’espèce, X.________ est condamné pour mise en danger de la vie d’autrui, tentative de menaces, violation de domicile, contrainte sexuelle, viol, tentative de viol, infraction à la loi fédérale sur les armes et contravention à la loi fédérale sur les stupéfiants. Considérant en substance que la peine privative de liberté était seule envisageable pour les infractions prévoyant également un autre genre de peine, le tribunal correctionnel a infligé à X.________ une peine privative de liberté de trois ans, dont deux ans pour la seule infraction de viol. En premier lieu, on ne voit pas en quoi une vie de couple riche en matière sexuelle serait susceptible de diminuer la culpabilité de l’appelant pour les infractions retenues, même pour les infractions à caractère sexuel, la vie de couple ayant du reste été qualifiée de chaotique et non d’harmonieuse. Une peine pécuniaire est à l’évidence exclue, ne serait-ce que pour le motif que le crime de viol n’est puni que d’une peine privative de liberté. Compte tenu des éléments à charge, soit l’absence de prise de conscience et la gravité objective des agressions répétées, sur le plan physique et sexuel, et de la seule circonstance à décharge, soit une légère diminution de responsabilité – étant rappelé que l’absence d’antécédent constitue un élément neutre –, l’infraction de base que constitue le viol doit être réprimée d’une peine privative de liberté de</w:t>
      </w:r>
    </w:p>
    <w:p>
      <w:r>
        <w:rPr>
          <w:b/>
        </w:rPr>
        <w:t>E. 15</w:t>
      </w:r>
    </w:p>
    <w:p>
      <w:r>
        <w:t>mois. Les autres infractions, à l’exception de la contravention, doivent</w:t>
      </w:r>
    </w:p>
    <w:p>
      <w:r>
        <w:t>- 39 - également être punies d’une peine privative de liberté, au vu de leur gravité et de leur nombre, seul ce genre de peine étant de nature à exercer un effet dissuasif suffisant sur le prévenu. Avec les autres infractions à caractère sexuel, la peine privative de liberté de 15 mois doit être portée à 24 mois, et à 36 mois en raison de la mise en danger de la vie d’autrui. Le principe de l’interdiction de la reformatio in pejus empêche d’aller au-delà pour les infractions restantes, de sorte que la peine prononcée doit être confirmée. Il en va de même de l’amende infligée pour la contravention, laquelle n’est pas contestée. 7.2.2 Comme l’ont relevé les premiers juges, au vu de la peine prononcée, seul un sursis partiel peut être envisagé. Ils ont considéré que X.________ n’avait aucun antécédent, qu’il s’était soumis aux mesures de substitution, sous réserve de l’abstinence au cannabis, qui ne semblait pas avoir été entièrement respectée et qu’il s’était déclaré prêt à poursuivre son suivi psychiatrique et à être abstinent. Cette appréciation doit être suivie et la part ferme de la peine, de 12 mois, confirmée pour le même motif que ci-avant, soit le principe de l’interdiction de la reformatio in pejus, empêchant d’augmenter la part de peine ferme. Il apparaît en effet évident qu’une année de détention est un minimum pour que l’appelant prenne conscience de la gravité d’infractions qu’il banalise totalement. Au demeurant, le risque de récidive important évoqué par l’expert psychiatre est bel et bien susceptible de se reproduire, aussitôt que le prévenu reprendra une relation de couple. Dans ces conditions, le délai d’épreuve fixé à 4 ans est également adéquat. 7.2.3 Quant aux règles de conduite imposées durant ce délai, consistant en la poursuite du suivi psychothérapeutique et en l’interdiction d’acquérir des armes quelles qu’elles soient, celles-ci doivent être confirmées au vu de la gravité des infractions dont le risque – important – de récidive est redouté, même si les experts ont considéré qu’il n’y avait pas d’intérêt à imposer un suivi. Cette mesure est quoi qu’il en soit susceptible de favoriser une prise de conscience chez X.________, qui fait défaut, et s’avère donc indispensable à l’octroi du sursis partiel, la seule</w:t>
      </w:r>
    </w:p>
    <w:p>
      <w:r>
        <w:t>- 40 - volonté exprimée par ce dernier de poursuivre les consultations actuelles étant insuffisante. 8. L’appelant conteste la confiscation et la destruction de certains des objets saisis et transmis au bureau des armes. Il soutient que ces objets n’auraient pas de lien de causalité avec les faits et que certains d’entre eux ne seraient pas des armes au sens de la loi. 8.1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De plus, la confiscation d'objets dangereux, en tant qu'elle atteint à la propriété garantie par l'art. 26 Cst., exige le respect du principe de la proportionnalité dans ses deux composantes de l'adéquation au but et de la subsidiarité. 8.2 En l’espèce, contrairement à ce que soutient l’appelant, la confiscation des armes et autres objets dangereux – peu importe qu’ils puissent être considérés comme armes au sens de l’art. 4 al. 1 let. c LArm (loi fédérale sur les armes, les accessoires d’armes et les munitions; RS 514.54) – saisis à son domicile est justifiée, tant en raison de sa</w:t>
      </w:r>
    </w:p>
    <w:p>
      <w:r>
        <w:t>- 41 - condamnation pour infraction à la LArm qu’en raison de sa condamnation pour tentative de menaces au moyen d’un couteau. Un lien de connexité entre ces infractions et chaque arme ou objet dangereux saisi n’est pas nécessaire. L’appelant, qui présente, à dire d’expert, un risque de récidive important en raison de ses troubles de la personnalité, doit être privé de ses nombreux couteaux et armes en tout genre. 9. L’appelant conteste ensuite le principe de l’indemnité pour tort moral allouée à B.________, exposant que même si les infractions à caractère sexuel étaient retenues, cette dernière n’aurait subi aucun traumatisme, dès lors qu’elle s’était fait tatouer peu après les faits un motif symbolique de sa relation avec X.________, de surcroît dessiné par lui, qu’elle avait poursuivi ses activités sexuelles sans aucun traumatisme, qu’elle parlait ouvertement de sa version des faits à des proches et qu’on ne pouvait rien déduire du compte rendu du Dr [...]. Dans son appel joint, B.________ a conclu à l’allocation d’un montant de 8'000 fr. en lieu et place des 6'000 fr. qui lui ont été alloués. Elle soutient que les montants alloués aux victimes de viol varient entre 10'000 et 20'000 fr. et que le montant requis serait raisonnable, dès lors qu’elle a subi plusieurs agressions et conserve un traumatisme important s’étant manifesté à diverses reprises. 9.1 Aux termes de l'art. 49 CO (Loi fédérale complétant le Code civil suisse du 30 mars 1911;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w:t>
      </w:r>
    </w:p>
    <w:p>
      <w:r>
        <w:t>- 42 - dérisoire à la victime (ATF 125 III 269 consid. 2a;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9.2 En l'espèce, et comme l'ont retenu les premiers juges, il est incontestable que B.________ a été atteinte dans sa santé, notamment psychique, à la suite des actes commis, à plusieurs reprises, dont un viol consommé, par le prévenu. Il est indéniable que ces actes l’ont profondément et durablement affectée, comme cela ressort du compte rendu de l’entretien du 20 mars 2018 du Dr [...] (P. 96), qui fait état d’un effondrement. Sa souffrance était également perceptible en audience. Le montant de 8'000 fr. requis par la plaignante à titre d’indemnité en réparation de son tort moral est ainsi justifié et doit lui être alloué, l’appel joint étant bien fondé, nonobstant les griefs formulés par l’appelant. On ne voit en effet pas en quoi le fait que la plaignante ait tenté de faire néanmoins fonctionner son couple avec l’appelant – avec qui on rappellera qu’elle a un enfant –, qu’elle ait continué d’entretenir des relations avec lui – phénomène courant chez les victimes d’atteintes sexuelles –, ou encore qu’elle soit capable de parler ouvertement desdites agressions, serait l’indice qu’elle n’aurait subi aucun traumatisme. 10. L’appelant, qui a succombé en première instance, s’est à juste titre vu condamné à assumer l’entier des frais de procédure, conformément à l’art. 426 al. 1 CPP, et n’a dès lors pas droit aux indemnités au sens de l’art. 429 CPP qu’il réclame, que ce soit au titre de tort moral ou au titre d’une prétendue détention injustifiée. A cet égard, on précisera que le jugement entrepris ordonne que 10 jours soient déduits de la peine privative de liberté en raison des</w:t>
      </w:r>
    </w:p>
    <w:p>
      <w:r>
        <w:t>- 43 -</w:t>
      </w:r>
    </w:p>
    <w:p>
      <w:r>
        <w:rPr>
          <w:b/>
        </w:rPr>
        <w:t>E. 19</w:t>
      </w:r>
    </w:p>
    <w:p>
      <w:r>
        <w:t>jours de détention provisoire subis par X.________ dans des conditions illicites. Ce mode de réparation est conforme à la jurisprudence et il n’y a aucune raison d’indemniser cette détention autrement. En effet, la réduction de peine constitue la forme de réparation appropriée, cette forme devant même être préférée à l’allocation d’une indemnité pécuniaire, compte tenu du principe de subsidiarité de l’indemnisation et dès lors que l’on peut considérer que la liberté a en principe une valeur plus importante qu’une quelconque somme d’argent (CAPE 27 janvier 2020/7 consid. 6.1.1 et les références citées; CAPE 8 octobre 2015/387 consid. 2.2; CAPE 10 octobre 2014/300 consid. 2.2). 11. L’appelant s’en prend enfin au montant de l’indemnité allouée au conseil juridique gratuit de la plaignante, dont il prétend que 5 heures 55 auraient été facturées en trop. Il soutient que ledit conseil est également chargé du règlement des questions liées au droit de visite de l’enfant commun des parties et que de nombreuses opérations entreprises dans ce cadre auraient été comptabilisées dans la procédure pénale. Les griefs de l’appelant sur ce point sont infondés. D’une part, celui-ci perd de vue que dans le cas d’espèce, le prévenu et la plaignante ont un enfant commun et que les mesures de substitution auxquelles il est soumis lui interdisent de prendre contact et d’approcher B.________. Ainsi, inévitablement, des questions liées à l’exercice du droit de visite sur l’enfant concernent également la procédure pénale. Ensuite, l’appelant se prévaut, pour l’essentiel, de suppositions en se fondant sur une liste des opérations déposée par le conseil concerné et par comparaison avec ses propres opérations. Il ne rend dès lors aucunement vraisemblable que les opérations litigieuses seraient effectivement et uniquement liées à un litige de nature civile entre les parties. Il n’y a donc aucune raison de considérer que des opérations sans rapport avec la procédure pénale auraient été comptabilisées par le conseil d’office de la plaignante.</w:t>
      </w:r>
    </w:p>
    <w:p>
      <w:r>
        <w:t>- 44 - 12. Au vu de ce qui précède, l’appel de X.________ doit être rejeté, l’appel joint de B.________ admis et le jugement rendu le 16 juillet 2019 par le Tribunal correctionnel de l’arrondissement de la Broye et du Nord vaudois modifié dans le sens du considérant 9.2 ci-avant. Le défenseur d’office de X.________ a produit en audience une liste d’opérations faisant état de 74 heures 25 d’activité, dont 3 heures 25 effectuées par un avocat breveté, dont il n’y a pas lieu de s’écarter, et le solde par un avocat-stagiaire, ce qui est très largement excessif, dès lors qu’il n’appartient pas au prévenu de supporter les frais de formation. L’ensemble de l’activité effectuée par l’avocat-stagiaire étant excessive, on retiendra forfaitairement pour chaque type d’opérations nécessaire un montant maximal admissible compte tenu de la complexité de la cause et de ce qui était raisonnable pour la bonne exécution du mandat d’office, soit : 3 heures d’entretiens avec le client, 3 heures pour les opérations relatives à l’appel joint et à la rédaction de divers courriers, 2 heures pour les diverses écritures adressées à la Cour d’appel, 12 heures pour la rédaction de la déclaration d’appel et la préparation de l’audience, 3 heures pour l’audience d’appel et 1 heure pour les opérations futures, soit</w:t>
      </w:r>
    </w:p>
    <w:p>
      <w:r>
        <w:rPr>
          <w:b/>
        </w:rPr>
        <w:t>E. 24</w:t>
      </w:r>
    </w:p>
    <w:p>
      <w:r>
        <w:t>heures au total. C’est donc une indemnité de 3'661 fr. 90 qui sera allouée à Me Jean-Philippe Heim pour la procédure d’appel, correspondant à 3,416 heures d’activité au tarif horaire de 180 fr., à 24 heures d’activité au tarif horaire de 110 fr., à 65 fr. 10 de débours forfaitaires au taux légal de 2%, à 80 fr. de vacation et à 261 fr. 80 de TVA. Le conseil juridique gratuit de B.________ a produit en audience une liste d’opérations faisant état de 11 heures 25 d’activité, dont il n’y a pas lieu de s’écarter, étant cependant précisé que le tarif horaire applicable pour l’assistance judiciaire est de 180 fr. et non de 300 francs. C’est ainsi une indemnité de 2'386 fr. 75 qui sera allouée à Me Manuela Ryter Godel pour la procédure d’appel, correspondant à 11,416 heures d’activité au tarif horaire de 180</w:t>
      </w:r>
    </w:p>
    <w:p>
      <w:r>
        <w:t>- 45 - fr., à 41 fr. 10 de débours forfaitaires au taux légal de 2%, à 120 fr. de vacation et à 170 fr. 65 de TVA. Vu l’issue de la cause, les frais de la procédure d’appel, par 10'158 fr. 65, constitués des émoluments de jugement et d’audience (art. 21 al. 1 et 2 TFIP [Tarif des frais de procédure et indemnités en matière pénale du 28 septembre 2010; BLV 312.03.1]), par 4’110 fr., ainsi que des indemnités d’office précitées, seront mis à la charge de X.________, qui succombe (art. 428 al. 1 CPP). X.________ ne sera tenu de rembourser à l’Etat les indemnités allouées à son défenseur d'office et au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