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PE18.010929 vom 20. August 2019</w:t>
      </w:r>
    </w:p>
    <w:p>
      <w:r>
        <w:t>VD Tribunal cantonal, 2019-08-20, FR</w:t>
      </w:r>
    </w:p>
    <w:p>
      <w:r>
        <w:rPr>
          <w:b/>
        </w:rPr>
        <w:t xml:space="preserve">Quelle: </w:t>
      </w:r>
      <w:r>
        <w:t>https://mcp.opencaselaw.ch/entscheid/vd_gerichte_PE18.010929</w:t>
      </w:r>
    </w:p>
    <w:p>
      <w:r>
        <w:t>FR: VD_GERICHTE PE18.010929 du 20 août 2019</w:t>
      </w:r>
    </w:p>
    <w:p>
      <w:r>
        <w:t>IT: VD_GERICHTE PE18.010929 del 20 agosto 2019</w:t>
      </w:r>
    </w:p>
    <w:p>
      <w:pPr>
        <w:pStyle w:val="Heading2"/>
      </w:pPr>
      <w:r>
        <w:t>Erwägungen</w:t>
      </w:r>
    </w:p>
    <w:p>
      <w:r>
        <w:rPr>
          <w:b/>
        </w:rPr>
        <w:t>E. 3</w:t>
      </w:r>
    </w:p>
    <w:p>
      <w:r>
        <w:t>retranscrits dans l’acte d’accusation en se fondant sur les déclarations crédibles de la plaignante corroborées par d’autres éléments au dossier, sous réserve de la présence au domicile de l’enfant B.R.________ le 26 mai 2018 qui n’est pas avérée.</w:t>
      </w:r>
    </w:p>
    <w:p>
      <w:r>
        <w:rPr>
          <w:b/>
        </w:rPr>
        <w:t>E. 4</w:t>
      </w:r>
    </w:p>
    <w:p>
      <w:r>
        <w:t>et 5 CP, respectivement de l'art. 180 al. 2 let. a et b CP (TF 6B_1057/2015 du 25 mai 2016 consid. 1 ; cf. aussi Dupuis et al., op. cit., n. 23 ad art. 123 CP; Roth/Berkemeier, in Basler Kommentar StGB, 2013, n. 31 ad art. 123 CP; Corboz, Les infractions en droit suisse, vol. I, 3e éd., Berne 2010, n. 33 ad art. 123 CP). L'exigence du ménage commun se justifie, selon le législateur, en raison de la relation de dépendance, matérielle ou psychique, qui empêche généralement la victime de déposer plainte lorsqu'elle partage le même toit que l'auteur, ces dispositions visant toutefois à exclure les relations passagères en exigeant que le</w:t>
      </w:r>
    </w:p>
    <w:p>
      <w:r>
        <w:t>- 12 - ménage commun l'ait été pour une durée indéterminée (Rémy, in: Macaluso/ Moreillon/Quéloz [éd.], Commentaire romand, Code pénal II, 2017, n. 22 ad art. 123 CP p. 90).</w:t>
      </w:r>
    </w:p>
    <w:p>
      <w:r>
        <w:rPr>
          <w:b/>
        </w:rPr>
        <w:t>E. 4.1</w:t>
      </w:r>
    </w:p>
    <w:p>
      <w:r>
        <w:t>L’appelant reproche au premier juge d’avoir retenu l’infraction de voies de fait qualifiées, sans toutefois contester la qualification juridique des autres infractions retenues. Il relève qu’il n’a jamais été marié à la plaignante et qu’il n’y a voies de fait qualifiées que dans les cas où l’auteur a agi à réitérées reprises.</w:t>
      </w:r>
    </w:p>
    <w:p>
      <w:r>
        <w:t>- 10 -</w:t>
      </w:r>
    </w:p>
    <w:p>
      <w:r>
        <w:rPr>
          <w:b/>
        </w:rPr>
        <w:t>E. 4.2.1</w:t>
      </w:r>
    </w:p>
    <w:p>
      <w:r>
        <w:t>En vertu de l’art. 126 al. 1 CP (Code pénale suisse du 21 décembre 1937 ; RS 311.0),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 fait (Dupuis et al. [éd.], op. cit., nn. 4 et 5 ad art. 126 CP). La question de savoir si l’atteinte dépasse ce qui est socialement toléré, et parvient en ce sens au seuil des voies de fait, s’apprécie au regard des circonstances propres à chaque cas d’espèce (ATF 117 IV 14 consid. 2a ; Dupuis et al., Petit commentaire du Code pénal, 2e éd., Bâle 2017, n. 6 ad art. 126 CP).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ATF 129 IV 216 consid. 3.1 p. 222). Pour interpréter cette notion relativement vague (Rémy, in: Roth/Moreillon [éd.] Commentaire romand, Code pénal I, Bâle 2009, nn, 11 et 13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 op. cit., n. 13 ad art. 126 CP). Certains auteurs considèrent que deux épisodes peuvent suffire (Trechsel/Geth, in : Trechsel/Pieth [éd.], Schweizerisches</w:t>
      </w:r>
    </w:p>
    <w:p>
      <w:r>
        <w:t>- 11 - Strafgesetzbuch, Praxiskommentar, 3e éd., Zurich/Saint-Gall 2018, n. 8 ad art. 126 CP). L’infraction est de nature intentionnelle, le dol éventuel étant toutefois suffisant (Dupuis et al., op. cit., n. 8 ad art. 126 CP).</w:t>
      </w:r>
    </w:p>
    <w:p>
      <w:r>
        <w:rPr>
          <w:b/>
        </w:rPr>
        <w:t>E. 4.2.2</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Selon l'art. 180 al. 1 CP, celui qui, par une menace grave, aura alarmé ou effrayé une personne sera, sur plainte, puni d'une peine privative de liberté de trois ans au plus ou d'une peine pécuniaire. Selon l'art. 180 al. 1 CP, celui qui, par une menace grave, aura alarmé ou effrayé une personne sera, sur plainte, puni d'une peine privative de liberté de trois ans au plus ou d'une peine pécuniaire. En vertu de l'art. 123 ch. 2 al. 6 CP et de l'art. 180 al. 2 let. b CP,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w:t>
      </w:r>
    </w:p>
    <w:p>
      <w:r>
        <w:rPr>
          <w:b/>
        </w:rPr>
        <w:t>E. 4.2.3</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 ATF 128 IV 53 consid. 1a).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Sur le plan subjectif, l'injure suppose l'intention. L'auteur doit vouloir ou accepter que son message soit attentatoire à l'honneur et qu'il soit communiqué à la victime (ATF 117 IV 270 consid. 2b).</w:t>
      </w:r>
    </w:p>
    <w:p>
      <w:r>
        <w:rPr>
          <w:b/>
        </w:rPr>
        <w:t>E. 4.3</w:t>
      </w:r>
    </w:p>
    <w:p>
      <w:r>
        <w:t>Il résulte de l’examen du dossier que l’appelant et la plaignante n’ont jamais été mariés, qu’ils ont eu un fils, qu’ils ont vécu ensemble durant près de 13 ans et qu’ils faisaient ménage commun au moment des faits. La Cour de céans constate que le prévenu s’en est pris physiquement à U.________ à deux reprises dans l’intervalle de trois jours. Le 26 mai 2018, il a asséné un coup de poing à sa compagne et le 29 mai 2018, il l’a saisie par le cou. Le coup de poing du cas 2 n’ayant laissé aucune trace, il s’agit de voies de fait. Lors de l’épisode du cas 3, plus violent et plus dense que le précédent, le prévenu a blessé sa compagne qui a souffert d’un traumatisme cranio-cervical, se rendant ainsi coupable de lésions corporelles simples qualifiées. Dans la mesure où le prévenu a porté atteinte à l’intégrité physique de sa compagne à deux reprises dans</w:t>
      </w:r>
    </w:p>
    <w:p>
      <w:r>
        <w:t>- 13 - un laps de temps très court et où son comportement violent s’est intensifié entre ces deux épisodes, il y a lieu de considérer qu’il a agi à réitérées reprises au sens de l’art. 126 al. 2 CP et que la forme qualifiée de cette infraction est réalisée, le prévenu n’ayant pas à tirer bénéfice de l’escalade dans la violence. Il convient par conséquent de constater que A.R.________ s’est rendu coupable de voies de fait qualifiées au sens de l’art. 126 al. 2 let. b CP. Au reste, les éléments au dossier sont suffisants pour retenir que le prévenu, en traitant sa compagne de « sale pute » , en lui disant qu’il allait y avoir un cadavre dans leur maison et en provoquant chez celle-ci un traumatisme cranio-cervical en la saisissant par le cou, s’est rendu coupable de lésions corporelles simples qualifiées, d’injure et de menaces qualifiées au sens des art. 123 ch. 1 et ch. 2 al. 6, 177 al. 1 et 180 al. 2 let. b CP.</w:t>
      </w:r>
    </w:p>
    <w:p>
      <w:r>
        <w:rPr>
          <w:b/>
        </w:rPr>
        <w:t>E. 5.1</w:t>
      </w:r>
    </w:p>
    <w:p>
      <w:r>
        <w:t>L’appelant fait valoir que la peine, qui correspond à celle initialement requise par la Ministère public, est trop sévère, seule une partie des faits reprochés dans l’acte d’accusation étant retenus à sa charge.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- 14 -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5.2.2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 142 IV 265 IV 2.3.2 pp. 267 ss; 138 IV 120 consid. 5.2 p. 122). Si les sanctions envisagées concrètement ne sont pas du même genre, elles doivent être prononcées cumulativement (ATF 144 IV 317 consid. 1.1.1 p. 316; 142 IV 265 consid. 2.3.2; 138 IV 120 consid. 5.2 p. 122; 137 IV 57 consid. 4.3.1 p. 58). La peine privative de liberté et la peine pécuniaire ne sont pas des sanctions du même genre (ATF 144 IV 317 consid. 1.1.1 p. 316; 144 IV 265 consid. 2.2 p. 220; 137 IV 57 consid. 4.3.1 p. 58).</w:t>
      </w:r>
    </w:p>
    <w:p>
      <w:r>
        <w:t>- 15 -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p. 317; 127 IV 101 consid. 2b p. 104; TF 6B_688/2014 du 22 décembre 2017 consid. 27.2.1; plus récemment TF 6B_1175/2017 du 11 avril 2018 consid. 2.1).</w:t>
      </w:r>
    </w:p>
    <w:p>
      <w:r>
        <w:rPr>
          <w:b/>
        </w:rPr>
        <w:t>E. 5.2.3</w:t>
      </w:r>
    </w:p>
    <w:p>
      <w:r>
        <w:t>L’art. 34 CP prévoit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 op. cit., n. 7 ad art. 106 CP).</w:t>
      </w:r>
    </w:p>
    <w:p>
      <w:r>
        <w:t>- 16 -</w:t>
      </w:r>
    </w:p>
    <w:p>
      <w:r>
        <w:rPr>
          <w:b/>
        </w:rPr>
        <w:t>E. 5.2.4</w:t>
      </w:r>
    </w:p>
    <w:p>
      <w:r>
        <w:t>Selon l'art. 42 CP, le juge suspend en règle générale l’exécution d’une peine pécuniaire ou d’une peine privative de liberté de deux ans au plus lorsqu’une peine ferme ne paraît pas nécessaire pour détourner l’auteur d’autres crimes ou délits (al. 1). Si le juge suspend totalement ou partiellement l’exécution d’une peine, il impartit au condamné un délai d’épreuve de deux à cinq ans (44 al. 1 CP).</w:t>
      </w:r>
    </w:p>
    <w:p>
      <w:r>
        <w:rPr>
          <w:b/>
        </w:rPr>
        <w:t>E. 5.3</w:t>
      </w:r>
    </w:p>
    <w:p>
      <w:r>
        <w:t>A.R.________ est condamné pour voies de fait qualifiées, lésions corporelles simples qualifiées, injure et menaces qualifiées. La culpabilité de l’appelant est lourde. Il n’a pas hésité à s’en prendre physiquement et verbalement, pour des motifs futiles, à sa concubine, qui est aussi la mère d’un de ses enfants. A charge, il sera tenu compte du concours d’infractions, des antécédents du prévenu pour les mêmes infractions, de son obstination à nier les faits et de son absence totale de prise de conscience de la gravité de ses actes. En outre, aucun élément ne peut être retenu à décharge. Le premier juge a condamné A.R.________ à 100 jours-amende à 30 fr. le jour pour l’injure du cas 2 et pour les menaces qualifiées et les lésions corporelles simples qualifiées du cas 3. Une peine pécuniaire suffit pour sanctionner les infractions retenues. Si le juge n’est pas lié par les réquisitions du procureur, la peine prononcée apparaît clémente. L’infraction la plus grave est celle de lésions corporelles simples qualifiées, laquelle doit être réprimée par une peine de 50 jours-amende, qu’il convient d’augmenter, par l’effet du concours, de 30 jours-amende pour sanctionner les menaces qualifiées et de 20 jours-amende pour sanc- tionner l’injure. Ainsi, la peine pécuniaire d’ensemble de 100 jours-amende doit être confirmée. Le montant du jour-amende, fixé à 30 fr., tient compte de la situation financière de l’appelant et doit être confirmé. Le pronostic est défavorable, de sorte que les conditions à l’octroi du sursis ne sont pas réalisées et que la peine doit être ferme. Le premier juge a sanctionné les voies de fait qualifiées par une amende de 600 fr. convertible en six jours de peine privative de liberté en cas de non-paiement fautif. Au vu des éléments à charge et à</w:t>
      </w:r>
    </w:p>
    <w:p>
      <w:r>
        <w:t>- 17 - décharge et de la situation personnelle du prévenu, cette amende sanctionne adéquatement les voies de fait commises. Elle doit être assortie d’une peine privative de liberté de substitution de 6 jours, correspondant au taux de conversion « standard » de l’amende de 100 fr. pour un jour de privation de liberté (Dupuis et al., op. cit., n. 9 ad art. 106 CP).</w:t>
      </w:r>
    </w:p>
    <w:p>
      <w:r>
        <w:rPr>
          <w:b/>
        </w:rPr>
        <w:t>E. 6</w:t>
      </w:r>
    </w:p>
    <w:p>
      <w:r>
        <w:t>En définitive, l’appel de A.R.________ doit être rejeté et le jugement entrepris confirmé. Sur la liste des opérations produites (P. 74/1), Me David Vaucher fait état de 11,4 heures d’activité d’avocat. Il n’y a pas lieu de s’en écarter si ce n’est pour retrancher les 2,15 heures consacrées à des recherches juridiques et à un courriel au client, opérations postérieures au jugement de première instance rétribuées dans le cadre de l’indemnité d’office fixée par le premier juge. L’indemnité d’office de Me David Vaucher pour la procédure d’appel est par conséquent fixée à 1'829 fr. 05, montant correspondant à 9h15 d’activité d’avocat breveté au tarif horaire de 180 fr., soit 1'665 fr., des débours forfaitaires à concurrence de 2%, par 33 fr. 30, et 130 fr. 75 de TVA (art. 2 al. 1 let. a et 3bis al. 1 et al. 3 RAJ [Règlement sur l’assistance judiciaire en matière civile du 7 décembre 2019 ; BLV 211.02.3], applicables par renvoi de l’art. 26b TFIP [Tarif des frais de procédure et indemnités en matière pénale du 28 septembre 2010 ; BLV 312.03.1]). La plaignante U.________, qui a procédé avec le concours d’un conseil de choix et qui obtient gain de cause dans la mesure où elle a conclu au rejet de l’appel, a droit à une indemnité pour l'exercice raisonnable de ses droits de procédure en appel. Son conseil a produit une liste d’opérations (P. 73) faisant état d’une activité d’une heure d’avocat breveté au tarif horaire de 250 fr. et de 8,5 heures d’activité d’avocat- stagiaire au tarif horaire de 110 fr., qui n’appelle aucune remarque particulière. Vu le sort de la cause, l’indemnité, fixée à 1'301 fr. 80 (250 fr.</w:t>
      </w:r>
    </w:p>
    <w:p>
      <w:r>
        <w:t>- 18 - [avocat] + 935 fr. [avocat-stagiaire] + 23 fr. 70 [débours] + 93 fr. 10 [TVA]), sera mise à la charge de A.R.________. Les frais de la procédure d’appel, par 3'589 fr. 05, constitués en l’espèce de l’émolument de jugement, par 1'760 fr. (art. 21 al. 1 TFIP) et de l’indemnité allouée au défenseur d’office de A.R.________, par 1'829 fr. 05, seront mis à la charge de A.R.________ (art. 428 al. 1 CPP). A.R.________ ne sera tenu de rembourser à l’Etat le montant de l’indemnité allouée en faveur de son défenseur d’office mise à sa charge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