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PE18.010823 vom 23. November 2020</w:t>
      </w:r>
    </w:p>
    <w:p>
      <w:r>
        <w:t>VD Tribunal cantonal, 2020-11-23, FR</w:t>
      </w:r>
    </w:p>
    <w:p>
      <w:r>
        <w:rPr>
          <w:b/>
        </w:rPr>
        <w:t xml:space="preserve">Quelle: </w:t>
      </w:r>
      <w:r>
        <w:t>https://mcp.opencaselaw.ch/entscheid/vd_gerichte_PE18.010823</w:t>
      </w:r>
    </w:p>
    <w:p>
      <w:r>
        <w:t>FR: VD_GERICHTE PE18.010823 du 23 novembre 2020</w:t>
      </w:r>
    </w:p>
    <w:p>
      <w:r>
        <w:t>IT: VD_GERICHTE PE18.010823 del 23 novembre 2020</w:t>
      </w:r>
    </w:p>
    <w:p>
      <w:pPr>
        <w:pStyle w:val="Heading2"/>
      </w:pPr>
      <w:r>
        <w:t>Erwägungen</w:t>
      </w:r>
    </w:p>
    <w:p>
      <w:r>
        <w:rPr>
          <w:b/>
        </w:rPr>
        <w:t>E. 15</w:t>
      </w:r>
    </w:p>
    <w:p>
      <w:r>
        <w:t>septembre 2015 est douteuse compte tenu des explications variées que l’appelant a données à ce sujet et qui ont été relevées par le premier juge. On peut se référer à cet égard aux considérants de son jugement (p. 9 ; art. 82 al. 4 CPP). Quant au certificat médical produit, il est dépourvu de valeur probante, puisqu'il précise « pas de séquelles traumatiques visualisées » (P. 22/1), l'incapacité de travail n'ayant duré que trois jours (P. 22/2). Sixièmement et enfin, l’appelant a annoncé à la SUVA avoir « repris le travail » le 1er novembre 2015 (PV aud. 1, annexe 14), alors qu’il a subi une intervention médicale le 2 novembre 2015 et qu’il a été déclaré en incapacité totale de travail jusqu’au 15 décembre 2015 (PV aud. 1, annexe 17). Au vu de ces éléments, il ne fait aucun doute que l'appelant n'a jamais travaillé pour C.________ et qu'il n'a pas eu d'accident le 15 septembre 2015. Il est par conséquent coauteur de l'escroquerie retenue contre lui en première instance. Evidente, cette qualification juridique n’a au demeurant pas été contestée. 4. L’appelant, qui conclut à son acquittement, ne conteste pas la quotité de la peine en tant que telle. Examinée d’office, la Cour de céans considère que cette peine a été fixée en application des critères légaux et conformément à la culpabilité et à la situation personnelle de G.________. Il peut dès lors être renvoyé à cet égard à la motivation du jugement attaqué (pp. 35 s. ; art. 82 al. 4 CPP), qui est claire et convaincante. La peine pécuniaire de 60 jours-amende, à 50 fr. le jour, avec sursis pendant deux ans, est adéquate et sera ainsi confirmée.</w:t>
      </w:r>
    </w:p>
    <w:p>
      <w:r>
        <w:t>- 13 - 5. En définitive, l’appel de G.________ doit être rejeté et le jugement entrepris intégralement confirmé. Vu l'issue de la cause, les frais de la procédure d'appel, par 1'280 fr., constitués de l'émolument du présent jugement,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