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PE18.010811 vom 12. Dezember 2018</w:t>
      </w:r>
    </w:p>
    <w:p>
      <w:r>
        <w:t>VD Tribunal cantonal, 2018-12-12, FR</w:t>
      </w:r>
    </w:p>
    <w:p>
      <w:r>
        <w:rPr>
          <w:b/>
        </w:rPr>
        <w:t xml:space="preserve">Quelle: </w:t>
      </w:r>
      <w:r>
        <w:t>https://mcp.opencaselaw.ch/entscheid/vd_gerichte_PE18.010811</w:t>
      </w:r>
    </w:p>
    <w:p>
      <w:r>
        <w:t>FR: VD_GERICHTE PE18.010811 du 12 décembre 2018</w:t>
      </w:r>
    </w:p>
    <w:p>
      <w:r>
        <w:t>IT: VD_GERICHTE PE18.010811 del 12 dicembre 2018</w:t>
      </w:r>
    </w:p>
    <w:p>
      <w:pPr>
        <w:pStyle w:val="Heading2"/>
      </w:pPr>
      <w:r>
        <w:t>Erwägungen</w:t>
      </w:r>
    </w:p>
    <w:p>
      <w:r>
        <w:rPr>
          <w:b/>
        </w:rPr>
        <w:t>E. 1</w:t>
      </w:r>
    </w:p>
    <w:p>
      <w:r>
        <w:t>CPP), le recours est recevable (Moreillon/Parein-Reymond, Code de procédure pénale, Petit commentaire, 2e éd., Bâle 2016, n. 18 ad art. 132 CPP ; CREP 17 août 2017/542 consid. 1 et les références citées). Les pièces nouvelles produites par l’intéressé à l’appui de son recours sont également recevables (art. 385 al. 1 let. c CPP ; Moreillon/Parein-Reymond, op. cit., n. 8 ad art. 385 CPP et la réf. citée).</w:t>
      </w:r>
    </w:p>
    <w:p>
      <w:r>
        <w:rPr>
          <w:b/>
        </w:rPr>
        <w:t>E. 2.1</w:t>
      </w:r>
    </w:p>
    <w:p>
      <w:r>
        <w:t>Aux termes de l'art. 130 CPP, le prévenu doit avoir un défenseur notamment dans les cas où la détention provisoire, y compris la durée de l’arrestation provisoire, a excédé dix jours (let. a) ou dans les cas où il encourt une peine privative de liberté de plus d'un an, une mesure entraînant une privation de liberté ou une expulsion (let. b). La peine que le prévenu «encourt» (cf. art. 130 let. b CPP), ou celle dont il est «passible» (cf. art. 132 al. 3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in: Niggli/Heer/Wiprächtiger [éd.], Basler Kommentar, Schweizerische Strafprozessordnung, Jugendstrafprozessordnung, Bâle 2011, n. 18 ad art. 130 CPP ; Harari/Aliberti, in: Kuhn/Jeanneret (éd.), Commentaire romand,</w:t>
      </w:r>
    </w:p>
    <w:p>
      <w:r>
        <w:t>- 4 - Code de procédure pénale suisse, Bâle 2011, n. 23 ad art. 130 CPP et les références citées ; CREP 20 novembre 2013/752, CREP 20 septembre 2013/645).</w:t>
      </w:r>
    </w:p>
    <w:p>
      <w:r>
        <w:rPr>
          <w:b/>
        </w:rPr>
        <w:t>E. 2.2</w:t>
      </w:r>
    </w:p>
    <w:p>
      <w:r>
        <w:t>En dehors des cas de défense obligatoire (art. 130 CPP), l'art. 132 al. 1 let. b CPP soumet le droit à l'assistance d'un défenseur d'office aux conditions que le prévenu soit indigent et que la sauvegarde de ses intérêts justifie une telle assistance.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sont cumulatives (Harari/Aliberti, op. cit., n. 55 ad art. 132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L’art. 132 al. 1 let. b CPP codifie la jurisprudence en matière de défense d'office rendue par le Tribunal fédéral avant l'entrée en vigueur du Code de procédure pénale suisse (Harari/Aliberti, op. cit., nn. 60 ss ad art. 132 CPP).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JdT 2006 IV 47 ; Harari/Aliberti, op. cit., n. 33 ad art. 132 CPP). La deuxième condition s'interprète à l'aune des critères mentionnés à l'art. 132 al. 2 et 3 CPP (Harari/Aliberti, op. cit., nn. 60 ss ad art. 132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w:t>
      </w:r>
    </w:p>
    <w:p>
      <w:r>
        <w:t>- 5 -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 ATF 128 I 225 consid.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TF 6B_304/2007 du 15 août 2008 consid. 5.2 ; ATF 128 I 225 consid. 2.5.2 ; CREP 3 août 2011/291).</w:t>
      </w:r>
    </w:p>
    <w:p>
      <w:r>
        <w:rPr>
          <w:b/>
        </w:rPr>
        <w:t>E. 2.3</w:t>
      </w:r>
    </w:p>
    <w:p>
      <w:r>
        <w:t>En l'espèce, le recourant n'a que 22 ans et n’a pas de connaissances juridiques ni d’expérience judiciaire. Lors de son audition du 27 septembre 2018, il a contesté les faits qui lui sont reprochés (PV aud. 2). La plaignante a quant à elle indiqué lors de son audition le 28 mai 2018 par la police que durant la période allant de janvier 2016 à mars 2018, elle souffrait d’un burn-out et faisait l’objet d’un suivi médical (PV aud. 1). La cause n’apparaît ainsi pas d’emblée simple en fait, et l’appréciation juridique des infractions reprochées au recourant (notamment l’abus de confiance et l’utilisation frauduleuse d’un ordinateur) n’est pas à la portée de tout un chacun. En outre, le montant litigieux (au moins 34'414 fr. 20) n’est pas négligeable et ne permet pas d’emblée de considérer le cas comme un cas « bagatelle » pour lequel le recourant ne risquerait qu'une peine de courte durée ou une amende, sans compter les conséquences financières pour le recourant en cas de condamnation. Enfin, il convient de tenir compte du fait que la plaignante est assistée d’un avocat, étant précisé que le fait qu’il s’agisse d’un conseil de choix est sans pertinence du point de vue de l’égalité des armes, qui se réfère à une égalité de moyens de défense et non à une égalité financière.</w:t>
      </w:r>
    </w:p>
    <w:p>
      <w:r>
        <w:rPr>
          <w:b/>
        </w:rPr>
        <w:t>E. 2.4</w:t>
      </w:r>
    </w:p>
    <w:p>
      <w:r>
        <w:t>Compte tenu de ce qui précède, il apparaît que les conditions prévues à l’art. 132 al. 1 let. b CPP sont réalisées, étant précisé que</w:t>
      </w:r>
    </w:p>
    <w:p>
      <w:r>
        <w:t>- 6 - l’indigence du recourant n'est pas contestée. C’est ainsi à tort que le Ministère public a refusé la désignation d’un défenseur d’office au recourant, laquelle apparaît justifiée pour assurer la sauvegarde de ses intérêts.</w:t>
      </w:r>
    </w:p>
    <w:p>
      <w:r>
        <w:rPr>
          <w:b/>
        </w:rPr>
        <w:t>E. 3</w:t>
      </w:r>
    </w:p>
    <w:p>
      <w:r>
        <w:t>En définitive, le recours doit être admis et l’ordonnance attaquée réformée en ce sens que Me Jean-Marc Courvoisier est désigné en qualité de défenseur d’office de C.________. La désignation prendra effet au jour du dépôt de la demande, soit le 26 octobre 2018 (cf. CREP 24 juillet 2018/559 ; CREP 14 juin 2018/452). Le recourant ayant obtenu gain de cause, les frais de la procédure de recours, constitués en l’espèce de l’émolument d’arrêt, par 660 fr. (art. 20 al. 1 TFIP [Tarif des frais de procédure et indemnités en matière pénale du 28 septembre 2010; RSV 312.03.1]), ainsi que de l’indemnité allouée à son défenseur d’office, arrêtée à 360 fr., plus la TVA par 27 fr. 70, soit à 387 fr. 70 au total, seront laissés à la charge de l’Etat (art. 428 al. 1 CPP). Par ces motifs, la Chambre des recours pénale prononce : I. Le recours est admis. II. L'ordonnance du 8 novembre 2018 est réformée en ce sens que Me Jean-Marc Courvoisier est désigné en qualité de défenseur d’office de C.________, avec effet au 26 octobre 2018. III. L’indemnité allouée au défenseur d’office de C.________ pour la procédure de recours est fixée à 387 fr. 70 (trois cent huitante- sept francs et septante centimes).</w:t>
      </w:r>
    </w:p>
    <w:p>
      <w:r>
        <w:t>- 7 - IV. Les frais d’arrêt, par 660 fr. (six cent soixante francs), ainsi que l’indemnité due au défenseur d’office de C.________, par 387 fr. 70 (trois cent huitante-sept francs et septante centimes), sont laissés à la charge de l’Etat. V. L’arrêt est exécutoire. Le président : La greffière : Du Le présent arrêt, dont la rédaction a été approuvée à huis clos, est notifié, par l'envoi d'une copie complète, à : - Me Jean-Marc Courvoisier, avocat (pour C.________), - M. C.________, . Ministère public central, et communiqué à : - Mme la Procureure de l'arrondissement de Lausanne, par l’envoi de photocopies.</w:t>
      </w:r>
    </w:p>
    <w:p>
      <w:r>
        <w:t>- 8 -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