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PE18.010794 vom 21. Juni 2018</w:t>
      </w:r>
    </w:p>
    <w:p>
      <w:r>
        <w:t>VD Tribunal cantonal, 2018-06-21, FR</w:t>
      </w:r>
    </w:p>
    <w:p>
      <w:r>
        <w:rPr>
          <w:b/>
        </w:rPr>
        <w:t xml:space="preserve">Quelle: </w:t>
      </w:r>
      <w:r>
        <w:t>https://mcp.opencaselaw.ch/entscheid/vd_gerichte_PE18.010794</w:t>
      </w:r>
    </w:p>
    <w:p>
      <w:r>
        <w:t>FR: VD_GERICHTE PE18.010794 du 21 juin 2018</w:t>
      </w:r>
    </w:p>
    <w:p>
      <w:r>
        <w:t>IT: VD_GERICHTE PE18.010794 del 21 giugno 2018</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w:t>
      </w:r>
    </w:p>
    <w:p>
      <w:r>
        <w:t>- 4 -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CREP 27 décembre 2017/877 consid. 2). L'intensité des charges propres à motiver un maintien en détention provisoire n'est pas la même aux divers stades de l'instruction pénale. Ainsi, des soupçons, même peu précis, peuvent être suffisants dans les premiers temps de l'enquête (ATF 116 la 143 consid. 3c p. 146).</w:t>
      </w:r>
    </w:p>
    <w:p>
      <w:r>
        <w:rPr>
          <w:b/>
        </w:rPr>
        <w:t>E. 2.2</w:t>
      </w:r>
    </w:p>
    <w:p>
      <w:r>
        <w:t>En l’espèce, le recourant a été interpellé alors qu’il était porteur de 10 fingers de cocaïne représentant environ 100 grammes de cette substance, le cas grave de 18 g de cocaïne semblant ainsi atteint (ATF 122 IV 360 ; ATF 120 IV 334 ; ATF 119 IV 180). I.________ a participé au trafic de cocaïne et a admis, lors de ses auditions, avoir pris en charge cette marchandise pour le compte d’un certain [...], précisant qu’il devait gagner 250 fr. pour ce service et qu’il savait au préalable la quantité de drogue qu’il devait prendre. Au vu de ce qui précède, il existe des soupçons suffisants de culpabilité à l’encontre de I.________, ce qu’il ne conteste au demeurant pas puisqu’il admet les faits qui lui sont reprochés. La première condition de l’art. 221 al. 1 CPP est ainsi réalisées.</w:t>
      </w:r>
    </w:p>
    <w:p>
      <w:r>
        <w:rPr>
          <w:b/>
        </w:rPr>
        <w:t>E. 3.1</w:t>
      </w:r>
    </w:p>
    <w:p>
      <w:r>
        <w:t>Le recourant conteste l’existence d’un risque de collusion. Il prétend qu’aucun élément objectif ne permettrait de retenir un tel risque, ce d’autant moins qu’il aurait tiré la leçon de la présente procédure et confirmé ne plus jamais vouloir avoir à faire avec tout ce qui concernait le trafic de stupéfiants ainsi que les personnes y participant.</w:t>
      </w:r>
    </w:p>
    <w:p>
      <w:r>
        <w:t>- 5 -</w:t>
      </w:r>
    </w:p>
    <w:p>
      <w:r>
        <w:rPr>
          <w:b/>
        </w:rPr>
        <w:t>E. 3.2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rPr>
          <w:b/>
        </w:rPr>
        <w:t>E. 3.3</w:t>
      </w:r>
    </w:p>
    <w:p>
      <w:r>
        <w:t>Des mesures d’instruction sont actuellement en cours, dont notamment l’analyse du téléphone portable du prévenu, afin de déterminer l’ampleur de son activité délictueuse. Comme l’a relevé le Tribunal des mesures de contrainte, il importe de préserver le résultat de ces mesures, ainsi que les suites que ce contrôle pourrait rendre nécessaire. I.________ a pris une part active au sein d’un trafic de stupéfiants et la personne qui lui a remis les 10 fingers n’a pas pu être interpellée. Elle est activement recherchée dans le cadre de l’enquête</w:t>
      </w:r>
    </w:p>
    <w:p>
      <w:r>
        <w:t>- 6 - d’un réseau plus important (opération TANJI). Partant, à ce stade de l’enquête, il y a lieu d’éviter, en cas de libération du prévenu, qu’il ne compromette la recherche de la vérité en tentant notamment d’entrer en contact avec le dépositaire, étant rappelé que le maintien en détention provisoire en raison d’un risque de collusion vise à garantir la constatation exacte et complète des faits. La détention provisoire de I.________ se justifie pour ce motif et les arguments du recourant, soit qu’il ignorerait tout de l’opération TANJI, qu’il ne ferait pas partie d’un réseau et que les faits qui lui sont reprochés se limiteraient à un seul transfert auquel il aurait consenti sous la pression de sa situation financière, ce qu’il dit regretter aujourd’hui, ne sont pas pertinents.</w:t>
      </w:r>
    </w:p>
    <w:p>
      <w:r>
        <w:rPr>
          <w:b/>
        </w:rPr>
        <w:t>E. 4</w:t>
      </w:r>
    </w:p>
    <w:p>
      <w:r>
        <w:t>Les conditions de l’art. 221 al. 1 CPP étant alternatives, l'existence d’un risque de collusion dispense d’examiner si, comme le retient le Tribunal des mesures de contrainte, la détention provisoire s’impose également en raison d’un risque de fuite (TF 1B_249/2011 du 7 juin 2011 consid. 2.4).</w:t>
      </w:r>
    </w:p>
    <w:p>
      <w:r>
        <w:rPr>
          <w:b/>
        </w:rPr>
        <w:t>E. 5.1</w:t>
      </w:r>
    </w:p>
    <w:p>
      <w:r>
        <w:t>Le recourant propose diverses mesures de substitution à savoir en particulier le dépôt de ses documents d’identité, l’obligation de se présenter régulièrement à un service administratif ou encore l’interdiction d’entretenir des relations avec toutes personnes impliquées dans le trafic de stupéfiants.</w:t>
      </w:r>
    </w:p>
    <w:p>
      <w:r>
        <w:rPr>
          <w:b/>
        </w:rPr>
        <w:t>E. 5.2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w:t>
      </w:r>
    </w:p>
    <w:p>
      <w:r>
        <w:t>- 7 -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consid.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w:t>
      </w:r>
    </w:p>
    <w:p>
      <w:r>
        <w:rPr>
          <w:b/>
        </w:rPr>
        <w:t>E. 5.3</w:t>
      </w:r>
    </w:p>
    <w:p>
      <w:r>
        <w:t>En l’espèce, aucune mesure de substitution n’est à même de prévenir le risque retenu. Les mesures proposées par le recourant, à savoir le dépôt de ses documents d’identité, l’obligation de se présenter régulièrement à un service administratif ou encore l’interdiction d’entretenir des relations avec toutes personnes impliquées dans le trafic de stupéfiants, ne permettraient pas de parer au risque de collusion, le recourant demeurant libre de contacter quiconque par téléphone et/ou par courriel, voire de rencontrer ses comparses en personne.</w:t>
      </w:r>
    </w:p>
    <w:p>
      <w:r>
        <w:rPr>
          <w:b/>
        </w:rPr>
        <w:t>E. 6</w:t>
      </w:r>
    </w:p>
    <w:p>
      <w:r>
        <w:t>I.________ plaide encore l’inopportunité de sa mise en détention au vu de sa situation privée. Il invoque notamment le risque de perdre son emploi et sa situation de santé, puisqu’il est atteint du SIDA et suit un traitement lourd.</w:t>
      </w:r>
    </w:p>
    <w:p>
      <w:r>
        <w:t>- 8 - En l’occurrence, vu les éléments développés ci-dessus, les arguments du recourant ne sont pas relevants. Le risque de collusion est élevé. S’agissant du traitement médical de I.________, il consiste en une prise de médicaments par voie orale (PV aud. arrestation l. 76-78 ; PV aud. TMC l. 78-80). Les structures de détention disposent d’un service médical (SMPP) et le médicament, qui est administré en Suisse, pourra être fourni, soit par une structure médicale, soit par le biais de son épouse. Enfin, le risque de perdre son emploi est inhérent à toute détention provisoire.</w:t>
      </w:r>
    </w:p>
    <w:p>
      <w:r>
        <w:rPr>
          <w:b/>
        </w:rPr>
        <w:t>E. 7.1</w:t>
      </w:r>
    </w:p>
    <w:p>
      <w:r>
        <w:t>Concernant le respect du principe de la proportionnalité (art. 212 al. 3 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7.2</w:t>
      </w:r>
    </w:p>
    <w:p>
      <w:r>
        <w:t>En l’espèce, les faits reprochés au recourant ne sont pas anodins et celui-ci s'expose à une peine d’une durée supérieure à celle de la détention provisoire subie à ce jour. Le principe de la proportionnalité de la détention provisoire demeure dès lors respecté.</w:t>
      </w:r>
    </w:p>
    <w:p>
      <w:r>
        <w:rPr>
          <w:b/>
        </w:rPr>
        <w:t>E. 8</w:t>
      </w:r>
    </w:p>
    <w:p>
      <w:r>
        <w:t>Il résulte de ce qui précède que le recours, manifestement mal fondé, doit être rejeté sans échange d’écritures (art. 390 al. 2 CPP). Les frais de la procédure de recours, constitués en l’espèce de l’émolument d'arrêt, par 880 fr. (art. 20 al. 1 TFIP [tarif des frais judiciaires de procédure et indemnités en matière pénale du 28 septembre 2010 ;</w:t>
      </w:r>
    </w:p>
    <w:p>
      <w:r>
        <w:t>- 9 - RSV 312.03.1]), et des frais imputables à la défense d’office (art. 422 al. 1 et 2 let. a CPP), fixés à 540 fr., plus la TVA par 41 fr. 60, soit à 581 fr. 60 au total, seront mis à la charge de I.________,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8 juin 2018 est confirmée. III. L’indemnité allouée au défenseur d’office du recourant est fixée à 581 fr. 60 (cinq cent huitante et un francs et soixante centimes). IV. Les frais d’arrêt, par 880 fr. (huit cent huitante francs), ainsi que l’indemnité due au défenseur d’office de I.________, par 581 fr. 60 (cinq cent huitante et un francs et soixante centimes), sont mis à la charge de ce dernier. V. Le remboursement à l'Etat de l'indemnité allouée au chiffre III ci-dessus ne sera exigible que pour autant que la situation économique de I.________ le permette. VI. L’arrêt est exécutoire. Le président : La greffière : Du Le présent arrêt, dont la rédaction a été approuvée à huis clos, est notifié, par l'envoi d'une copie complète, à : - Me Elise Deillon-Antenen, avocate (pour I.________), - Ministère public central,</w:t>
      </w:r>
    </w:p>
    <w:p>
      <w:r>
        <w:t>- 10 - et communiqué à : - M. le Procureur du Ministère public cantonal Strada, - Mme la Présidente du Tribunal des mesures de contrainte,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