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PE18.010582 vom 16. Oktober 2019</w:t>
      </w:r>
    </w:p>
    <w:p>
      <w:r>
        <w:t>VD Tribunal cantonal, 2019-10-16, FR</w:t>
      </w:r>
    </w:p>
    <w:p>
      <w:r>
        <w:rPr>
          <w:b/>
        </w:rPr>
        <w:t xml:space="preserve">Quelle: </w:t>
      </w:r>
      <w:r>
        <w:t>https://mcp.opencaselaw.ch/entscheid/vd_gerichte_PE18.010582</w:t>
      </w:r>
    </w:p>
    <w:p>
      <w:r>
        <w:t>FR: VD_GERICHTE PE18.010582 du 16 octobre 2019</w:t>
      </w:r>
    </w:p>
    <w:p>
      <w:r>
        <w:t>IT: VD_GERICHTE PE18.010582 del 16 ottobre 2019</w:t>
      </w:r>
    </w:p>
    <w:p>
      <w:pPr>
        <w:pStyle w:val="Heading2"/>
      </w:pPr>
      <w:r>
        <w:t>Erwägungen</w:t>
      </w:r>
    </w:p>
    <w:p>
      <w:r>
        <w:rPr>
          <w:b/>
        </w:rPr>
        <w:t>E. 4.1</w:t>
      </w:r>
    </w:p>
    <w:p>
      <w:r>
        <w:t>S’agissant des faits commis à l’encontre de M.________, l’appelant conteste la qualification juridique des infractions retenues à son encontre, notamment la réalisation de la condition du ménage commun en lien avec les art. 123, 126 et 180 CP (Code pénal suisse du 21 décembre 1937 ; RS 311.0). Il soutient qu’il n’aurait jamais été dans une relation de concubinage stable avec la plaignante, de sorte qu’une poursuite d’office ne pouvait avoir lieu.</w:t>
      </w:r>
    </w:p>
    <w:p>
      <w:r>
        <w:rPr>
          <w:b/>
        </w:rPr>
        <w:t>E. 4.2</w:t>
      </w:r>
    </w:p>
    <w:p>
      <w:r>
        <w:t>En vertu des art. 123 ch. 2 al. 6 et 180 al. 2 let. b CP, les lésions corporelles simples et les menaces se poursuivent d'office si l'auteur est le partenaire de la victime, pour autant qu'ils fassent ménage commun pour une durée indéterminée et que l'atteinte ait été commise durant cette période ou dans l'année qui a suivi la séparation. Il en va de même des voies de fait au sens de l’art. 126 al. 2 let. c CP, lorsque celles- ci sont perpétrées à réitérées reprises. Ces dispositions visent une situation de concubinat qui crée une communauté domestique assimilable aux hypothèses de l'art. 123 ch. 2 al. 4 et 5 CP, respectivement de l'art. 180 al. 2 let. a et b CP (Dupuis et al. [éd.], Petit Commentaire du Code pénal, 2e éd., Bâle 2017, n. 23 ad art. 123 CP ; Corboz, Les infractions en</w:t>
      </w:r>
    </w:p>
    <w:p>
      <w:r>
        <w:t>- 22 - droit suisse, vol. I, 2010, n. 33 ad art. 123 CP). L'exigence du ménage commun se justifie, selon le législateur, en raison de la relation de dépendance, matérielle ou psychique, qui empêche généralement la victime de déposer plainte lorsqu'elle partage le même toit que l'auteur, cette disposition visant à exclure les relations passagères (Rémy, in : Macaluso/Moreillon/Quéloz [éd.], Commentaire romand, Code pénal II, 2017, n. 22 ad art. 123 CP).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et les références citées ; TF 6B_1057/2015 du 25 mai 2016 consid. 1.1).</w:t>
      </w:r>
    </w:p>
    <w:p>
      <w:r>
        <w:rPr>
          <w:b/>
        </w:rPr>
        <w:t>E. 4.3</w:t>
      </w:r>
    </w:p>
    <w:p>
      <w:r>
        <w:t>Lors de son audition du 3 juin 2018, l’appelant a expliqué que cela faisait environ une année, soit depuis le 7 juillet 2017, qu’il vivait chez sa copine, qu’il vivait à cet endroit de manière continue, qu’il y avait eu des périodes où il avait dû quitter ce domicile suite à des interventions de police, et que cela faisait environ un mois qu’il vivait à nouveau avec la plaignante à son domicile à [...] (cf. PV aud. 3, p. 2). Il résulte de l’expertise psychiatrique de M.________ que celle-ci a rencontré le prévenu au mois de juillet 2017, que celui-ci, sans travail ni autorisation de rester en Suisse, s’est rapidement installé chez elle et que le couple a décidé d’avoir un enfant. Lorsque M.________ a appris qu’elle était enceinte, ils s’étaient toutefois séparés après plusieurs disputes violentes depuis le mois d’octobre 2017 qui avaient nécessité à plusieurs reprises l’intervention de la police. Lors de l’expertise, datée du 19 décembre 2018, M.________ vivait chez sa mère, qui lui apportait du soutien si</w:t>
      </w:r>
    </w:p>
    <w:p>
      <w:r>
        <w:t>- 23 - nécessaire, notamment pour son bébé. Aux débats de première instance, le 16 octobre 2019, le prévenu et la plaignante ont mentionné que leur relation était terminée depuis deux semaines/un mois. Le prévenu a notamment allégué ce qui suit : « Je vous réponds que nous étions encore ensemble M.________ et moi il y a deux semaines. Elle finit toujours par revenir à moi. Mon entourage le sait bien. Elle est très jalouse et moi aussi je le suis. C’est la mère de mon enfant. C’est elle qui finit par me contacter chaque fois qu’on se sépare ». Il résulte encore du dossier que le prévenu est en exécution d’une peine de 24 mois prononcée par le Tribunal pénal de la Gruyère, sa fin de peine étant fixée au 28 août 2020 et que, depuis sa majorité, il a passé la quasi-totalité de ses jours en détention. Au regard de ces éléments, quand bien même le prévenu avait son domicile légal chez ses parents, on doit admettre qu’il a constitué, avec M.________, une communauté de toit, de table et de lit. Le fait que celle-ci ait été interrompue par l’emprisonnement du prévenu ou plusieurs périodes de séparation ensuite d’interventions policières ne permet pas d’exclure une telle communauté ou de ne pas la considérer comme étant suffisamment stable, les deux protagonistes ayant eu un enfant commun et étant restés ensemble pendant plusieurs années, soit de juillet 2017 à septembre 2019, malgré les conflits et la violence au sein du couple. Il est évident que s’ils avaient été mariés, les événements qui les ont séparés n’auraient pas pour autant entraîné de divorce. Le grief doit par conséquent être rejeté et la condamnation de l’appelant pour lésions corporelles simples qualifiées, voies de fait qualifiées et menaces qualifiées confirmée.</w:t>
      </w:r>
    </w:p>
    <w:p>
      <w:r>
        <w:rPr>
          <w:b/>
        </w:rPr>
        <w:t>E. 5.1</w:t>
      </w:r>
    </w:p>
    <w:p>
      <w:r>
        <w:t>L’appelant, qui sollicite son acquittement sur plusieurs points du jugement de première instance, soutient que le type de peine à lui infliger devrait être revu pour qu’il soit proportionné et en adéquation avec les infractions retenues. A titre subsidiaire, il conclut à ce que la durée de sa peine privative de liberté n’excède pas celle d’ores et déjà subie. Dans la mesure où tous ses moyens libératoires ont été rejetés, ce</w:t>
      </w:r>
    </w:p>
    <w:p>
      <w:r>
        <w:t>- 24 - grief est sans objet. La peine doit toutefois être examinée d’office au regard des principes prévalant en matière de fixation des peines et de concours notamment.</w:t>
      </w:r>
    </w:p>
    <w:p>
      <w:r>
        <w:rPr>
          <w:b/>
        </w:rPr>
        <w:t>E. 5.2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6B_776/2019 du 20 novembre 2019 consid. 4.1 ; TF 6B_938/2019 du 18 novembre 2019 consid. 3.4.3).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w:t>
      </w:r>
    </w:p>
    <w:p>
      <w:r>
        <w:t>- 25 - sociale ainsi que de son efficacité du point de vue de la prévention. La faute de l'auteur n'est en revanche pas déterminante (ATF 144 IV 313 précité consid. 1.1.1 ; ATF 137 II 297 consid. 2.3.4 ; ATF 134 IV 97).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5.2.2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t>- 26 -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 TF 6B_911/2018 du 5 février 2019 consid. 1.2.2).</w:t>
      </w:r>
    </w:p>
    <w:p>
      <w:r>
        <w:rPr>
          <w:b/>
        </w:rPr>
        <w:t>E. 5.3</w:t>
      </w:r>
    </w:p>
    <w:p>
      <w:r>
        <w:t>A l’instar du premier juge, la Cour de céans retient que la culpabilité de P.________ est importante. En effet, celui-ci, ne parvenant pas à maîtriser sa colère, a porté atteinte à l’intégrité physique et psychique de sa compagne à réitérées reprises, certaines fois quand bien même elle était enceinte, et cela même s’il éprouvait, à n’en pas douter, de très forts sentiments à son égard. Il a déjà été condamné à de nombreuses reprises, notamment pour des lésions corporelles et des menaces, et a déjà subi plusieurs peines privatives de liberté, ce qui ne l’a pas empêché de récidiver. Il n’a par ailleurs que peu collaboré à l’enquête, en changeant de version et en persistant à nier certains faits, et n’a manifestement pas pris la mesure de la gravité de ses actes. Le concours</w:t>
      </w:r>
    </w:p>
    <w:p>
      <w:r>
        <w:t>- 27 - d’infractions doit encore être retenu à sa charge. A sa décharge, la Cour de céans retient, à l’instar du premier juge, ses difficultés psycho-sociales et une enfance compliquée. L’appelant est reconnu coupable de lésions corporelles simples qualifiées, voies de fait qualifiées, escroquerie, menaces qualifiées, violation de domicile, faux dans les titres, faux dans les certificats, empêchement d’accomplir un acte officiel, contravention à la Loi fédérale sur les stupéfiants et infraction à la Loi fédérale sur les étrangers et l’intégration. Sous réserve de la contravention à la LStup et des voies de fait, une peine privative de liberté s’impose pour toutes les infractions retenues à l’encontre de l’appelant pour des motifs de prévention spéciale, ses précédentes condamnations n’ayant en rien infléchi son comportement délictuel. Les infractions d’escroquerie, de faux dans les titres et de faux dans les certificats retenues à l’encontre de l’appelant sont antérieures à sa condamnation à une peine pécuniaire de 10 jours-amende à 30 fr. le jour avec sursis pendant 2 ans et à une amende de 300 fr. prononcée le 17 septembre 2015 par le Ministère public du canton de Fribourg pour opposition aux actes de l’autorité. Les peines en cause n’étant pas de même genre, c’est une peine cumulative qui doit être retenue. La peine privative de liberté sera fixée à deux mois pour ces infractions, soit un mois pour l’escroquerie, peine de base qui doit être augmentée, par l’effet du concours, de 15 jours pour le faux dans les titres et de 15 jours pour le faux dans les certificats. Les autres infractions, à savoir les lésions corporelles simples qualifiées, les voies de fait qualifiées, les menaces qualifiées, la violation de domicile, l’empêchement d’accomplir un acte officiel, la contravention à la LStup et l’infraction à la LEI ont toutes été commises avant la condamnation de l’appelant du 28 juin 2018 par le Tribunal pénal de la Gruyère à une peine privative de liberté de 24 mois, à une amende de 200 fr. et à l’expulsion pour une durée de 5 ans pour infraction grave et contravention à la LStup.</w:t>
      </w:r>
    </w:p>
    <w:p>
      <w:r>
        <w:t>- 28 - S’agissant des infractions de lésions corporelles simples qualifiées, menaces qualifiées, violation de domicile, empêchement d’accomplir un acte officiel, et de l’infraction à la LEI, les peines en cause étant de même genre, il y a lieu de fixer une peine privative de liberté complémentaire en tenant compte du fait que l’auteur ne doit pas être puni plus sévèrement que s’il avait fait l’objet d’un seul jugement. Ainsi, concrètement, si l’infraction grave à la LStup et les infractions susmentionnées avaient été jugées simultanément le 28 juin 2018, compte tenu de la culpabilité du prévenu telle qu’elle est décrite ci- dessus, c’est une peine privative de liberté de l’ordre de 30 mois qui aurait été prononcée, soit de 24 mois pour sanctionner l’infraction grave à la LStup, peine augmentée, par les effets du concours, de trois mois pour sanctionner les lésions corporelles simples qualifiées, de un mois et demi pour réprimer les menaces qualifiées, de 15 jours pour la violation de domicile, de 15 jours pour l’empêchement d’accomplir un acte officiel et de 15 jours pour sanctionner l’infraction à la LEI. Pour ce groupe d’infractions, la peine complémentaire doit donc être arrêtée à six mois. S’agissant des voies de fait qualifiées, elles exigent le prononcé d’une peine pécuniaire, soit d’une peine d’un genre différent de celles prononcées par le Tribunal pénal de la Gruyère le 28 juin 2018. Au vu de la culpabilité du prévenu, c’est une peine pécuniaire cumulative de l’ordre de 30 jours-amende qui doit être prononcée. Son montant sera fixé à 30 fr. pour tenir compte de la situation financière du prévenu. Enfin, la contravention à la LStup exige le prononcé d’une amende complémentaire à celle infligée par le Tribunal pénal de la Gruyère le 28 juin 2018. Il y a lieu de tenir compte du fait que l’auteur ne doit pas être puni plus sévèrement que s’il avait fait l’objet d’un seul jugement (cf. art. 104 CP) et d’arrêter, pour la période de consommation de stupéfiants du 7 juillet 2017 au 2 juin 2018, le montant de l’amende à 200 francs. La peine privative de liberté de substitution en cas de non- paiement fautif sera fixée à deux jours.</w:t>
      </w:r>
    </w:p>
    <w:p>
      <w:r>
        <w:t>- 29 - La peine privative de liberté de huit mois, la peine pécuniaire de 30 jours-amende à 30 fr. le jour et l’amende de 200 fr. prononcées par le premier juge, complémentaires et additionnelles à la peine infligée au prévenu par jugement du Tribunal pénal de la Gruyère le 28 juin 2018, sont dès lors adéquates et doivent être confirmées. A cet égard, c’est à juste titre que le premier juge a considéré que les antécédents de l’appelant excluaient l’octroi du sursis, appréciation que P.________ ne conteste au demeurant pas.</w:t>
      </w:r>
    </w:p>
    <w:p>
      <w:r>
        <w:rPr>
          <w:b/>
        </w:rPr>
        <w:t>E. 5.4</w:t>
      </w:r>
    </w:p>
    <w:p>
      <w:r>
        <w:t>Conformément à l’art. 51 CP, la détention subie avant jugement sera déduite de la peine privative de liberté prononcée. La déduction de la peine prononcée d’un jour supplémentaire à titre de réparation du tort moral pour les deux jours de détention subis dans des conditions illicites à l’Hôtel de police de Lausanne, qui n’est au demeurant pas contestée, est adéquate et doit être confirmée.</w:t>
      </w:r>
    </w:p>
    <w:p>
      <w:r>
        <w:rPr>
          <w:b/>
        </w:rPr>
        <w:t>E. 6</w:t>
      </w:r>
    </w:p>
    <w:p>
      <w:r>
        <w:t>L’appelant conclut enfin à ce qu’une indemnité au titre de l’art. 429 CPP lui soit octroyée en raison de la détention subie, ainsi que pour ses frais de défense de première instance. Dans la mesure où cette conclusion repose sur la prémisse de l’admission de son appel, elle doit être rejetée.</w:t>
      </w:r>
    </w:p>
    <w:p>
      <w:r>
        <w:rPr>
          <w:b/>
        </w:rPr>
        <w:t>E. 7</w:t>
      </w:r>
    </w:p>
    <w:p>
      <w:r>
        <w:t>En définitive, l’appel de P.________ doit être rejeté et le jugement entrepris intégralement confirmé. La liste des opérations produite par Me Myriam Bitschy fait état de 8 h 50 d’activité d’avocate au tarif horaire de 180 fr., ainsi que de débours à hauteur de 314 fr. 65, dont deux vacations à 120 fr., pour un montant total de 2'026 fr. 95, TVA incluse. Il n’y a pas lieu de s’écarter de la durée consacrée au mandat alléguée, si ce n’est pour y ajouter 50 minutes pour l’audience d’appel. Les débours seront pour leur part indemnisés sur une base forfaitaire, à concurrence de 2 % du montant des honoraires admis (art. 3bisRAJ [Règlement sur l’assistance judiciaire en</w:t>
      </w:r>
    </w:p>
    <w:p>
      <w:r>
        <w:t>- 30 - matière civile du 7 décembre 2010 ; BLV 211.02.3], par renvoi de l’art. 26b TFIP [Tarif des frais de procédure et indemnités en matière pénale du 28 septembre 2010 ; BLV 312.03.1]), vacations et TVA en sus. Ainsi, en définitive, une indemnité de défenseur d’office pour la procédure d’appel d’un montant de 2'169 fr. 95, correspondant à une activité de 9 h 40 au tarif horaire de 180 fr., à des débours à hauteur de 34 fr. 80, à deux vacations à 120 fr. et à la TVA par 155 fr. 15, sera allouée à Me Myriam Bitschy. Quant à la liste des opérations produite par Me Olivier Bloch, conseil d’office de M.________, faisant état de 7 h 12 d’activité d’avocat au tarif horaire de 180 fr., d’une vacation à 120 fr. et de débours forfaitaires à hauteur de 5 %, par 64 fr. 80, il n’y a pas lieu de s’en écarter, les débours forfaitaires devant toutefois être réduits à concurrence de 2 % des honoraires admis (art. 3bisRAJ ; art. 26b TFIP). Ainsi, une indemnité d’un montant de 1'552 fr. 95, correspondant à 7 h 12 d’activité au tarif horaire de 180 fr., à une vacation à 120 fr., à des débours par 25 fr. 90 et à la TVA par 111 fr. 05, doit être allouée à Me Olivier Bloch pour la procédure d’appel. Vu l’issue de la cause, les frais de la procédure d'appel, par 6’432 fr. 90, constitués en l’espèce de l’émolument de jugement, par 2’710 fr. (art. 21 al. 1 et 2 TFIP), ainsi que des indemnités allouées au défenseur et au conseil d'office par 3'722 fr. 90, seront mis à la charge de P.________, qui succombe (art. 428 al. 1 CPP). L’appelant ne sera tenu de rembourser le montant des indemnités en faveur de son défenseur d’office et du conseil d’office de l’intimée que lorsque sa situation financière le permettra (art. 135 al. 4 let. a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