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PE18.010485 vom 27. Januar 2021</w:t>
      </w:r>
    </w:p>
    <w:p>
      <w:r>
        <w:t>VD Tribunal cantonal, 2021-01-27, FR</w:t>
      </w:r>
    </w:p>
    <w:p>
      <w:r>
        <w:rPr>
          <w:b/>
        </w:rPr>
        <w:t xml:space="preserve">Quelle: </w:t>
      </w:r>
      <w:r>
        <w:t>https://mcp.opencaselaw.ch/entscheid/vd_gerichte_PE18.010485</w:t>
      </w:r>
    </w:p>
    <w:p>
      <w:r>
        <w:t>FR: VD_GERICHTE PE18.010485 du 27 janvier 2021</w:t>
      </w:r>
    </w:p>
    <w:p>
      <w:r>
        <w:t>IT: VD_GERICHTE PE18.010485 del 27 gennaio 2021</w:t>
      </w:r>
    </w:p>
    <w:p>
      <w:pPr>
        <w:pStyle w:val="Heading2"/>
      </w:pPr>
      <w:r>
        <w:t>Erwägungen</w:t>
      </w:r>
    </w:p>
    <w:p>
      <w:r>
        <w:rPr>
          <w:b/>
        </w:rPr>
        <w:t>E. 1</w:t>
      </w:r>
    </w:p>
    <w:p>
      <w:r>
        <w:t>A [...], à une date indéterminée entre la séparation du 1er mai 2009 et le 22 février 2010 (date de l’attestation de la galerie Q.________), Z.________ a demandé à Q.________ de modifier 3 factures de 2007 et 2008 de la galerie Q.________, sise à [...], en les libellant au nom de « [...] » (NB : Z.________ se faisait parfois appelé « [...] »), [...] (pour les factures de 2007), ou [...] (pour la facture de 2008), alors qu'elles avaient été libellées initialement au nom de l’entreprise individuelle [...]. Q.________ s’est exécuté et a modifié comme demandé les 3 factures suivantes, qu’il a ensuite remises à Z.________ : - facture numéro [...] du 14 juin 2007 d’un montant de CHF 9'846,15, concernant deux œuvres d’art ([...]) ; - facture numéro [...] du 14 juin 2007 d’un montant CHF 24'163,45, concernant une œuvre d’art ([...]) ; - facture numéro [...] du 13 mars 2008 d’un montant de CHF 69'038,40, concernant une œuvre d’art ([...]). Z.________ a agi de la sorte pour démontrer que les œuvres d’art concernées lui appartenaient dès lors qu’il les avait, selon lui, payées en cash à la galerie Q.________, et pour éluder le chiffre VI du prononcé de mesures protectrices de l’union conjugale du 30 juillet 2009 de la Présidente du Tribunal civil de l’arrondissement de l’Est vaudois, qui lui ordonnait de restituer à N.________ tous les objets, œuvres d’art, documents, comptes bancaires ou autres appartenant à la raison individuelle [...] dans les 48 heures dès notification, sous la commination de la peine d’amende prévue par l’article 292 CP. Il est précisé que l’arrêt sur appel rendu par le Tribunal civil de l’arrondissement de l’Est vaudois le 4 janvier 2010 a maintenu le prononcé sur ce point. A l’appui de sa réponse du 8 mai 2012 adressée au Tribunal civil de l’arrondissement de Lausanne, Z.________ a produit ces factures dans le cadre de la procédure de divorce pour revendiquer la propriété des œuvres d’art qu’elles concernaient. Par ordonnance pénale du 24 novembre 2020, laquelle n’est pas encore définitive et exécutoire, Z.________ a été condamné pour ces faits pour faux dans les titres (procédure PE16.014897-OJO, P. 10). Vu ce qui précède, une dénonciation calomnieuse est exclue, et ce même si l’ordonnance pénale du 24 novembre 2020 devait être contestée, ou si Z.________ devait finalement être acquitté. En effet, celui-ci a admis avoir demandé à Q.________ de modifier le libellé des factures litigieuses (PV aud. 5 et P. 8, annexe 3). Dans ces circonstances, les prévenus pouvaient estimer qu’il s’agissait de « faux » et qu’une infraction pénale avait été commise.</w:t>
      </w:r>
    </w:p>
    <w:p>
      <w:r>
        <w:t>- 4 - De même, les prévenus pouvaient en faire état dans le cadre de déterminations au Tribunal civil d’arrondissement de Lausanne. Le fait que les propos litigieux soient tenus dans le cadre d'un litige, sans être inutilement blessants et en rapport avec ledit litige, rend les propos incriminés licites (ATF 131 IV 154 c. 1.3.1; ATF 118 IV 153 c. 4b; ATF 118 IV 248 c. 2c). Il n’y a donc pas d’atteinte à l’honneur. En définitive, les infractions de diffamation, calomnie et dénonciation calomnieuse sont exclues.</w:t>
      </w:r>
    </w:p>
    <w:p>
      <w:r>
        <w:rPr>
          <w:b/>
        </w:rPr>
        <w:t>E. 2</w:t>
      </w:r>
    </w:p>
    <w:p>
      <w:r>
        <w:t>Les déterminations de Me R.________ figurant en page 4 de son courrier du 23 juin 2017, portant sur le remboursement de frais que le plaignant a eus pour un garde-meubles, ne sont pas attentatoires à l’honneur pour le même motif. En outre, on ne voit pas en quoi ces déterminations constitueraient une insoumission à une décision de l’autorité réprimée à l’article 292 CP, faute de décision rendue à l’encontre de Me R.________ ou de N.________ sous la menace de la peine d’amende prévue dans cette disposition.</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(TF 6B_196/2020 du 14 octobre 2020 consid. 3.1 et les réf. cit.).</w:t>
      </w:r>
    </w:p>
    <w:p>
      <w:r>
        <w:rPr>
          <w:b/>
        </w:rPr>
        <w:t>E. 2.1.1</w:t>
      </w:r>
    </w:p>
    <w:p>
      <w:r>
        <w:t>p. 315; ATF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et les références citées).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ATF 105 IV 196 consid. 2 p. 195 s.). Selon la jurisprudence, un texte doit être analysé non seulement en fonction des expressions utilisées, prises séparément, mais aussi selon le sens général qui se dégage du texte dans son ensemble (ATF 137 IV 313 consid. 2.1.3 p. 316). Déterminer le contenu d'un message relève des constatations de fait. Le sens qu'un destinataire non prévenu confère aux expressions et images utilisées constitue en revanche une question de droit (ATF 145 IV 462 consid. 4.2.3 p. 464; 137 IV 313 consid. 2.1.3 p. 316). Il y a toujours atteinte à l'honneur lorsqu'on évoque une infraction pénale ou un comportement clairement réprouvé par les</w:t>
      </w:r>
    </w:p>
    <w:p>
      <w:r>
        <w:t>- 8 - conceptions morales généralement admises (voir TF 6B_1145/2019 du 18 décembre 2019 consid. 2.3.1; cf. aussi ATF 116 IV 205 consid. 2 p. 207 et 103 IV 161 consid. 2 p. 161). Du point de vue subjectif, il suffit que l'auteur ait eu conscience du caractère attentatoire à l'honneur de ses propos et qu'il les ait néanmoins proférés; il n'est pas nécessaire qu'il ait eu la volonté de blesser la personne visée (ATF 137 IV 313 consid. 2.1.6 p. 317; TF 6B_974/2018 du 20 décembre 2018 consid. 2.2). L'art. 173 ch. 2 CP prévoit que l'inculpé n'encourra aucune peine s'il prouve que les allégations qu'il a articulées ou propagées sont conformes à la vérité ou qu'il avait des raisons sérieuses de les tenir de bonne foi pour vraies.</w:t>
      </w:r>
    </w:p>
    <w:p>
      <w:r>
        <w:rPr>
          <w:b/>
        </w:rPr>
        <w:t>E. 2.2.1</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Cette disposition protège la réputation d'être un individu honorable, c'est-à-dire de se comporter comme une personne digne a</w:t>
      </w:r>
    </w:p>
    <w:p>
      <w:r>
        <w:t>- 7 -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w:t>
      </w:r>
    </w:p>
    <w:p>
      <w:r>
        <w:rPr>
          <w:b/>
        </w:rPr>
        <w:t>E. 2.2.2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TF 6B_575/2015 du 27 avril 2016 consid. 3.1).</w:t>
      </w:r>
    </w:p>
    <w:p>
      <w:r>
        <w:rPr>
          <w:b/>
        </w:rPr>
        <w:t>E. 2.3</w:t>
      </w:r>
    </w:p>
    <w:p>
      <w:r>
        <w:t>L'infraction de dénonciation calomnieuse de l’art. 303 CP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w:t>
      </w:r>
    </w:p>
    <w:p>
      <w:r>
        <w:t>- 9 - pénale contre une personne qu'il savait innocente (art. 303 ch. 1 al. 1 et 2 CP).</w:t>
      </w:r>
    </w:p>
    <w:p>
      <w:r>
        <w:rPr>
          <w:b/>
        </w:rPr>
        <w:t>E. 2.4</w:t>
      </w:r>
    </w:p>
    <w:p>
      <w:r>
        <w:t>L’art. 292 CP prévoit que celui qui ne se sera pas conformé à une décision à lui signifiée sous la menace de la peine prévue au présent article, par une autorité ou un fonctionnaire compétents sera puni d'une amende. L'art. 292 CP vise à assurer le respect des injonctions des autorités (cf. TF 6B_601/2020 du 6 janvier 2021 consid. 1.4 destiné à la publication ; TF 1B_253/2019 du 11 novembre 2019 consid. 5.1).</w:t>
      </w:r>
    </w:p>
    <w:p>
      <w:r>
        <w:rPr>
          <w:b/>
        </w:rPr>
        <w:t>E. 3</w:t>
      </w:r>
    </w:p>
    <w:p>
      <w:r>
        <w:t>En définitive, une décision de non-entrée en matière doit être rendue. » L’ordonnance a été approuvée le 30 novembre 2020 par le Ministère public central, puis notifiée à l’avocate du plaignant. Par courriel du 8 décembre 2020, celle-ci a informé le procureur qu’elle avait cessé son activité d’avocate indépendante, qu’elle n’était plus le conseil de celui-ci depuis presque deux ans et qu’elle n’était pas à l’étude lorsque le pli avait été reçu, le 4 décembre 2020 ; elle demandait à ce que l’ordonnance soit notifiée en mains de son client, ce que le procureur a refusé de faire au motif que ni elle ni son client ne l’avaient informé de la fin du mandat. C. Par acte daté du 14 décembre 2020 et posté le même jour, Z.________ a recouru auprès de la Chambre des recours pénale du Tribunal cantonal contre cette ordonnance. Il a déposé un lot de pièces. Le 28 décembre 2020, un délai au 16 janvier 2021 lui a été imparti pour déposer 550 fr. à titre de sûretés. Ce dépôt a été effectué le 31 décembre 2020. Le 6 janvier 2021, le recourant a ajouté qu’il désirait envoyer un document supplémentaire. Le 11 janvier 2021, la Chambre de céans lui</w:t>
      </w:r>
    </w:p>
    <w:p>
      <w:r>
        <w:t>- 5 - a répondu qu’il lui était loisible de déposer de nouveaux documents pourvu que ce soit dans le délai de recours. Aucune pièce nouvelle n’a été déposée. Il n’a pas été ordonné d’échange d’écritures. En d roit : 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En partant du principe que l’ordonnance a été reçue par l’ancienne avocate du recourant le 4 décembre 2020, et indépendamment du fait de savoir si celle-ci pouvait se la voir notifiée, le recours a été déposé en temps utile, auprès de l’autorité compétente, par la partie plaignante qui a qualité pour recourir (art. 382 al. 1 CPP). Il est recevable, sous réserve de sa motivation, qui est indigente dans la mesure où elle n’indique pas les motifs qui commanderaient une autre décision (art. 385 al. 1 let. b CPP ; cf. infra). En outre, dans la mesure où il conclut au remboursement des frais de sa première plainte, par 11'114 fr., le recours est irrecevable, cette question ne faisant pas l’objet de la présente procédure ; au demeurant, il ressort de l’ordonnance de classement du 16 août 2016 que le recourant n’a pas requis l’allocation d’une indemnité au sens de l’art. 429 CPP, que la moitié des frais a été mise à sa charge et qu’une telle indemnité lui a quoi qu’il en soit été refusée.</w:t>
      </w:r>
    </w:p>
    <w:p>
      <w:r>
        <w:t>- 6 - Quant aux pièces produites avec le recours, elles sont recevables. 2.</w:t>
      </w:r>
    </w:p>
    <w:p>
      <w:r>
        <w:rPr>
          <w:b/>
        </w:rPr>
        <w:t>E. 3.1</w:t>
      </w:r>
    </w:p>
    <w:p>
      <w:r>
        <w:t>Dans un premier argument, le recourant s’en prend au passage suivant de l’ordonnance : « Z.________ a agi de la sorte pour démontrer que les œuvres d’art concernées lui appartenaient dès lors qu’il les avait, selon lui, payées en cash à la galerie Q.________ » ; or, selon le recourant, Q.________ aurait écrit : « Diese Bilder wurden von ihnen persönlich bar bezahlt ». Il soutient que l’interprétation du procureur est tendancieuse. Il conteste le bien-fondé de l’ordonnance pénale du 24 novembre 2020 le condamnant pour faux dans les titres, contre laquelle il a fait opposition. Il fait grief à Me R.________ d’avoir affirmé dans son courrier du 23 juin 2017 que la plupart des documents qu’il avait produits « n’étaient pas des originaux, mais de vulgaires photocopies, dont la force probante est plus que litigieuse ».</w:t>
      </w:r>
    </w:p>
    <w:p>
      <w:r>
        <w:rPr>
          <w:b/>
        </w:rPr>
        <w:t>E. 3.2</w:t>
      </w:r>
    </w:p>
    <w:p>
      <w:r>
        <w:t>En l’espèce, les seules déclarations précises que le recourant a invoquées dans sa plainte à l’encontre des prévenus sont celles contenues dans la lettre du 23 juin 2017 que Me R.________ a adressée au nom de N.________ au Président du Tribunal civil de l’arrondissement de Lausanne dans le cadre de la procédure de divorce divisant les parties. A sa lecture, on comprend qu’il s’agit d’une série d’observations sur un courrier que le plaignant avait adressé à titre de détermination sur le rapport d’expertise du notaire [...], ainsi que sur les pièces qui étaient jointes à ce courrier. Ces observations étaient précédées d’une remarque générale disant que N.________ mettait en doute les pièces qui étaient produites par le</w:t>
      </w:r>
    </w:p>
    <w:p>
      <w:r>
        <w:t>- 10 - recourant, qu’elle rappelait qu’il faisait l’objet d’une procédure pénale pour faux dans les titres concernant certaines pièces déjà produites dans le cadre de la présente procédure, et qu’elle faisait par ailleurs noter que la plupart de ces documents n’étaient pas des originaux « mais de vulgaires photocopies, dont la force probante est plus que litigieuse ». Le procureur a considéré que les prévenus pouvaient faire état de ces propos dans le cadre de la procédure de divorce, qu’ils n’étaient pas inutilement blessants et qu’ils étaient en rapport avec le litige et, donc, licites ; il en a déduit qu’il n’y avait pas d’atteinte à l’honneur. Dans son recours, Z.________ ne s’en prend pas à ce raisonnement, fondé implicitement sur l’art. 14 CP. Il se contente, comme déjà dit, de contester le bien-fondé de l’ordonnance pénale et d’invoquer que, dans ce cadre, on ne pouvait pas retenir qu’il n’avait pas payé lui- même les factures en cause. Or, il n’explique pas, et on ne voit pas, en quoi le raisonnement du procureur – au sujet de l’acte licite consistant à invoquer l’existence d’une procédure pénale pour faux dans les titres ouverte contre l’autre partie au procès, et de mettre en conséquence en doute la force probante des documents produits sous forme de photocopies – pourrait être modifié par la circonstance invoquée – le fait qu’il aurait lui-même payé les factures en cause – ou plus généralement par le sort de l’opposition qu’il a formée contre l’ordonnance pénale. Au demeurant, même si cette opposition devait être admise, il faudrait reconnaître qu’il n’est pas contesté qu’à la date à laquelle le courrier litigieux a été adressé au juge du divorce, il était exact que le plaignant faisait l’objet d’une instruction pénale pour faux dans les titres pour des pièces qui avaient été produites dans le cadre de la procédure de divorce. A supposer que le fait d’invoquer l’existence d’une enquête pénale puisse être attentatoire à l’honneur, il faudrait admettre, comme l’a fait le procureur en l’occurrence, que N.________, par son avocat Me R.________, s’est exprimée à cet égard de bonne foi, s’est limitée aux allégations nécessaires et pertinentes pour contester la force probante des pièces nouvelles produites par Z.________ à l’appui de sa détermination sur le rapport d’expertise, et n’a pas simplement argué ces pièces de faux mais</w:t>
      </w:r>
    </w:p>
    <w:p>
      <w:r>
        <w:t>- 11 - a seulement émis des doutes à cet égard. Il y aurait manifestement un acte licite. Subsidiairement, les prévenus pourraient être admis à apporter les preuves libératoires de l’art. 173 ch. 2 CP et faire la preuve de leur bonne foi, voire de la vérité, puisque la procédure pénale en cause, pour faux dans les titres, existait bel et bien. Les arguments du recourant, reposant sur une phrase extraite d’un écrit de Q.________ et d’une autre phrase extraite du courrier de Me R.________ du 23 juin 2017, ne sont ainsi pas pertinents, et ne peuvent qu’être rejetés. Dans ces conditions, c’est à raison que le procureur a considéré qu’il n’y avait aucun indice de commission des infractions de calomnie et de diffamation.</w:t>
      </w:r>
    </w:p>
    <w:p>
      <w:r>
        <w:rPr>
          <w:b/>
        </w:rPr>
        <w:t>E. 4.1</w:t>
      </w:r>
    </w:p>
    <w:p>
      <w:r>
        <w:t>Dans un second argument, le recourant semble – pour autant qu’on le comprenne – contester la validité de l’allégation figurant dans le courrier du 23 juin 2017 selon laquelle il aurait dépossédé son épouse de statues de manière illicite, et en déduire que cette allégation constituerait – en elle-même – une preuve que Me R.________ aurait commis une insoumission à une décision de l’autorité (« Ici l’avocat prouve son insoumission à une décision de l’autorité (art. 292 CP) ! »).</w:t>
      </w:r>
    </w:p>
    <w:p>
      <w:r>
        <w:rPr>
          <w:b/>
        </w:rPr>
        <w:t>E. 4.2</w:t>
      </w:r>
    </w:p>
    <w:p>
      <w:r>
        <w:t>En l’espèce, encore une fois, le recourant n’expose pas en quoi le raisonnement du procureur – au sujet de l’absence de décision rendue à l’encontre de N.________ et de son avocat Me R.________, et d’absence de décision rendue sous la commination de la peine prévue à l’art. 292 CP – serait erroné. Les factures de stockage produites sont à cet égard sans pertinence. Cet argument, sans consistance, doit également être rejeté. Dans ces conditions, c’est manifestement à juste titre que le procureur a considéré qu’il n’y avait aucun indice de commission d’une insoumission à une décision de l’autorité.</w:t>
      </w:r>
    </w:p>
    <w:p>
      <w:r>
        <w:t>- 12 -</w:t>
      </w:r>
    </w:p>
    <w:p>
      <w:r>
        <w:rPr>
          <w:b/>
        </w:rPr>
        <w:t>E. 5</w:t>
      </w:r>
    </w:p>
    <w:p>
      <w:r>
        <w:t>Enfin, le recourant se contente d’affirmer qu’il dépose un recours et maintient qu’il y a dénonciation calomnieuse, mais ne développe aucun argument à cet égard, en particulier contre le raisonnement tenu par le procureur dans l’ordonnance. Son recours est dès lors irrecevable s’agissant de cette infraction.</w:t>
      </w:r>
    </w:p>
    <w:p>
      <w:r>
        <w:rPr>
          <w:b/>
        </w:rPr>
        <w:t>E. 6</w:t>
      </w:r>
    </w:p>
    <w:p>
      <w:r>
        <w:t>Il résulte de ce qui précède que le recours, manifestement mal fondé, doit être rejeté, dans la mesure de sa faible recevabilité, sans échange d’écritures (art. 390 al. 2 CPP), et l’ordonnance attaquée confirmée. Les frais de la procédure de recours, constitués en l’espèce du seul émolument d’arrêt (art. 422 al. 1 CPP), arrêtés à 1'210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383 al. 1 CPP ; art. 7 TFIP ; CREP 26 novembre 2020/943 ; CREP 8 octobre 2020/772). Par ces motifs, la Chambre des recours pénale prononce : I. Le recours est rejeté dans la mesure où il est recevable. II. L’ordonnance du 27 novembre 2020 est confirmée. III. Les frais d’arrêt, par 1'210 fr. (mille deux cent dix francs), sont mis à la charge de Z.________. IV. Le montant de 550 fr. (cinq cent cinquante francs) déjà versé par Z.________ à titre de sûretés est imputé sur les frais mis à sa charge au chiffre III ci-dessus.</w:t>
      </w:r>
    </w:p>
    <w:p>
      <w:r>
        <w:t>- 13 - V. L’arrêt est exécutoire. Le président : Le greffier : Du Le présent arrêt,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