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PE18.010146 vom 11. Juli 2018</w:t>
      </w:r>
    </w:p>
    <w:p>
      <w:r>
        <w:t>VD Tribunal cantonal, 2018-07-11, FR</w:t>
      </w:r>
    </w:p>
    <w:p>
      <w:r>
        <w:rPr>
          <w:b/>
        </w:rPr>
        <w:t xml:space="preserve">Quelle: </w:t>
      </w:r>
      <w:r>
        <w:t>https://mcp.opencaselaw.ch/entscheid/vd_gerichte_PE18.010146</w:t>
      </w:r>
    </w:p>
    <w:p>
      <w:r>
        <w:t>FR: VD_GERICHTE PE18.010146 du 11 juillet 2018</w:t>
      </w:r>
    </w:p>
    <w:p>
      <w:r>
        <w:t>IT: VD_GERICHTE PE18.010146 del 11 luglio 2018</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est, dans le canton de Vaud, la Chambre des recours pénale du Tribunal cantonal (art. 13 LVCPP [Loi vaudoise d’introduction du Code de procédure pénale suisse du 19 mai 2009; RSV 312.01]; art. 80 LOJV [Loi d’organisation judiciaire du 12 décembre 1979; RSV 173.01]). En l’espèce, le recours a été interjeté en temps utile et dans les formes prescrites auprès de l’autorité compétente, par la partie plaignante qui a qualité pour recourir (art. 382 al. 1 CPP). Il est donc recevable.</w:t>
      </w:r>
    </w:p>
    <w:p>
      <w:r>
        <w:rPr>
          <w:b/>
        </w:rPr>
        <w:t>E. 2</w:t>
      </w:r>
    </w:p>
    <w:p>
      <w:r>
        <w:t>Le recourant requiert son audition par la Chambre des recours pénale.</w:t>
      </w:r>
    </w:p>
    <w:p>
      <w:r>
        <w:rPr>
          <w:b/>
        </w:rPr>
        <w:t>E. 2.1</w:t>
      </w:r>
    </w:p>
    <w:p>
      <w:r>
        <w:t>Aux termes de l’art. 397 al. 1 CPP, le recours fait l’objet d’une procédure écrite. Cette procédure n’est pas publique (art. 69 al. 3 let. c CPP). Si le recours n’est pas manifestement irrecevable ou mal fondé, la direction de la procédure notifie le mémoire de recours aux autres parties</w:t>
      </w:r>
    </w:p>
    <w:p>
      <w:r>
        <w:t>- 3 - et à l’autorité inférieure pour qu’ils se prononcent (art. 390 al. 2 CPP). La décision est rendue par voie de circulation ou lors d’une délibération non publique (art. 390 al. 4 CPP). L’autorité de recours peut toutefois, en vertu de l’art. 390 al. 5 CPP, ordonner des débats, d’office ou à la demande d’une partie. Une telle démarche doit toutefois demeurer exceptionnelle dans le cadre du recours (Message du 21 décembre 2005 relatif à l’unification du droit de la procédure pénale, FF 2006 p. 1297 ch. 2.9.2; TF 6B_803/2016 du 20 juillet 2017, consid. 1.2). Par ailleurs, l’art. 29 al. 2 Cst. (Constitution fédérale de la Confédération suisse du 18 avril 1999; RS 101) ne confère pas le droit d’être entendu oralement (ATF 134 I 140 consid. 5.3 et les références citées; TF 1B_422/2014 du 20 janvier 2015 consid. 3.2).</w:t>
      </w:r>
    </w:p>
    <w:p>
      <w:r>
        <w:rPr>
          <w:b/>
        </w:rPr>
        <w:t>E. 2.2</w:t>
      </w:r>
    </w:p>
    <w:p>
      <w:r>
        <w:t>En l’espèce, dans la mesure où l’intéressé a pu faire valoir ses arguments dans son recours, son droit d’être entendu a été respecté. La Chambre de céans n’est ainsi pas tenue de l’auditionner (CREP 24 novembre 2017/811 consid. 2; CREP 20 septembre 2017/642 consid. 2; CREP 1er avril 2014/248 consid. 6 et les références citées). Sa requête doit dès lors être rejetée.</w:t>
      </w:r>
    </w:p>
    <w:p>
      <w:r>
        <w:rPr>
          <w:b/>
        </w:rPr>
        <w:t>E. 3</w:t>
      </w:r>
    </w:p>
    <w:p>
      <w:r>
        <w:t>Le recourant reproche au Ministère public de "ne pas avoir fait son travail de contrôler" les personnes qu'il avait signalées.</w:t>
      </w:r>
    </w:p>
    <w:p>
      <w:r>
        <w:rPr>
          <w:b/>
        </w:rPr>
        <w:t>E. 3.1</w:t>
      </w:r>
    </w:p>
    <w:p>
      <w:r>
        <w:t>Aux termes de l'art. 310 al. 1 let. a CPP, une ordonnance de non-entrée en matière est rendue immédiatement – c’est-à-dire sans qu’une instruction soit ouverte (art. 309 al. 1 et 4 CPP ; TF 1B_111/2012 du</w:t>
      </w:r>
    </w:p>
    <w:p>
      <w:r>
        <w:rPr>
          <w:b/>
        </w:rPr>
        <w:t>E. 3.2</w:t>
      </w:r>
    </w:p>
    <w:p>
      <w:r>
        <w:t>Le Ministère public a relevé que le recourant avait déposé de nombreuses plaintes pénales, celle à l'origine de la présente cause étant la cinquième depuis 2013. Il a également indiqué que le recourant souffrait de troubles délirants persistants et que ses propos étaient pour le moins incohérents, voire incompréhensibles. Il a conclu qu'aucune infraction pénale n'avait manifestement été commise de sorte qu'il convenait de rendre une ordonnance de non-entrée en matière. Le recourant n'expose pas en quoi une infraction aurait été commise et se contente, dans des propos incohérents, de rappeler sa version des faits à l'origine de sa dernière plainte. Dans ces circonstances, l'ordonnance de non-entrée en matière apparaît entièrement justifiée. 4. En définitive, le recours, manifestement mal fondé, doit être rejeté sans autres échange d’écritures (art. 390 al. 2 CPP), et l’ordonnance attaquée confirmée. Les frais de la procédure de recours, constitués en l’espèce du seul émolument d’arrêt (art. 422 al. 1 CPP), par 550 fr. (art. 20 al. 1 TFIP</w:t>
      </w:r>
    </w:p>
    <w:p>
      <w:r>
        <w:t>- 5 - [Tarif des frais de procédure et indemnités en matière pénale du 28 septembre 2010; RSV 312.03.1]), seront mis à la charge du recourant, qui succombe (art. 428 al. 1 CPP). Ces frais seront compensés avec le montant de 550 fr. déjà versé par celui-ci à titre de sûretés (art. 383 al. 1 CPP; art.</w:t>
      </w:r>
    </w:p>
    <w:p>
      <w:r>
        <w:rPr>
          <w:b/>
        </w:rPr>
        <w:t>E. 5</w:t>
      </w:r>
    </w:p>
    <w:p>
      <w:r>
        <w:t>avril 2012 consid. 2.1 ; Cornu, in: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(TF 6B_940/2016 du 6 juillet 2017 consid. 3.3 ; TF 1B_709/2012 du 21 février 2013 consid. 3.1 ;</w:t>
      </w:r>
    </w:p>
    <w:p>
      <w:r>
        <w:t>- 4 - TF 1B_111/2012 du 5 avril 2012 consid. 2.1 ; TF 1B_67/2012 du 29 mai 2012 consid. 2.2).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2.3 ; ATF 137 IV 285 consid. 2.3 et les réf. cit.,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 TF 1B_67/2012 du 29 mai 2012 consid. 3.2).</w:t>
      </w:r>
    </w:p>
    <w:p>
      <w:r>
        <w:rPr>
          <w:b/>
        </w:rPr>
        <w:t>E. 7</w:t>
      </w:r>
    </w:p>
    <w:p>
      <w:r>
        <w:t>TFIP; CREP 25 octobre 2017/730; CREP 15 septembre 2017/631). Par ces motifs, la Chambre des recours pénale prononce : I. Le recours est rejeté. II. L'ordonnance est confirmée. III. Les frais d'arrêt, par 550 fr. (cinq cent cinquante francs), sont mis à la charge du recourant B.________. IV. Les frais mis à la charge du recourant au chiffre III ci-dessus sont compensés avec le montant de 550 fr. (cinq cent cinquante francs) déjà versé par celui-ci à titre de sûretés. V. L’arrêt est exécutoire. Le président : La greffière : Du Le présent arrêt, dont la rédaction a été approuvée à huis clos, est notifié, par l'envoi d'une copie complète, à : - M. B.________, - Ministère public central, et communiqué à : - Mme la Procureure de l'arrondissement de Lausanne,</w:t>
      </w:r>
    </w:p>
    <w:p>
      <w:r>
        <w:t>- 6 -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