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PE18.010083 vom 18. Februar 2020</w:t>
      </w:r>
    </w:p>
    <w:p>
      <w:r>
        <w:t>VD Tribunal cantonal, 2020-02-18, FR</w:t>
      </w:r>
    </w:p>
    <w:p>
      <w:r>
        <w:rPr>
          <w:b/>
        </w:rPr>
        <w:t xml:space="preserve">Quelle: </w:t>
      </w:r>
      <w:r>
        <w:t>https://mcp.opencaselaw.ch/entscheid/vd_gerichte_PE18.010083</w:t>
      </w:r>
    </w:p>
    <w:p>
      <w:r>
        <w:t>FR: VD_GERICHTE PE18.010083 du 18 février 2020</w:t>
      </w:r>
    </w:p>
    <w:p>
      <w:r>
        <w:t>IT: VD_GERICHTE PE18.010083 del 18 febbraio 2020</w:t>
      </w:r>
    </w:p>
    <w:p>
      <w:pPr>
        <w:pStyle w:val="Heading2"/>
      </w:pPr>
      <w:r>
        <w:t>Volltext</w:t>
      </w:r>
    </w:p>
    <w:p>
      <w:r>
        <w:t>TRIBUNAL CANTONAL 112 AM18.008210-AMEV / PE18.010083-JON CO UR D’APPEL PENALE ______________________________ Séance du 18 février 2020 __________________ Composition : Mme FONJALLAZ, présidente M. Winzap, et Mme Rouleau, juges Greffière : Mme de Benoit ***** Parties à la présente cause : X.________, requérant, domicilié à Vevey, et MINISTERE PUBLIC, représenté par le procureur de l’arrondissement de Lausanne, intimé. 653</w:t>
      </w:r>
    </w:p>
    <w:p>
      <w:r>
        <w:t>- 2 - La Cour d’appel pénale prend séance à huis clos pour statuer sur les demandes de révision formées par X.________ contre les ordonnances pénales rendues les 4 mai 2018 et 27 juillet 2018 par le Ministère public de l’arrondissement de Lausanne, respectivement par le Ministère public de l’arrondissement de l’Est vaudois dans les causes le concernant. Elle considère : En fait : A. a) Par ordonnance pénale du 4 mai 2018, le Ministère public de l’arrondissement de l’Est vaudois a condamné X.________ pour conduite d’un véhicule automobile sans permis de conduire et contravention à l’ordonnance sur les règles de la circulation routière à une peine privative de liberté de 40 jours et à une amende de 100 fr., convertible en un jour de peine privative de liberté de substitution en cas de non-paiement fautif de l’amende, et a mis les frais, par 200 fr., à la charge de X.________ (dossier référencé sous no AM18.008210-AMEV). Les faits retenus étaient les suivants : A [...], quelques mètres avant le carrefour « [...] », le 10 avril 2018 vers 00h30, X.________ a circulé au volant d’un véhicule automobile sans être titulaire du permis de conduire requis. Par ailleurs, il a dépassé un véhicule sans enclencher son indicateur de direction avant de bifurquer en direction de la station-service « [...] » sise à la route de [...], à nouveau sans annoncer son changement de direction. La procureure a considéré qu’au vu des nombreux antécédents du prévenu en matière de circulation routière, une peine privative de liberté ferme devait être prononcée. En outre, une amende devait être prononcée pour sanctionner la contravention commise.</w:t>
      </w:r>
    </w:p>
    <w:p>
      <w:r>
        <w:t>- 3 - b) Par ordonnance pénale du 27 juillet 2018, le Ministère public de l’arrondissement de Lausanne a condamné X.________ pour conduite d’un véhicule automobile sans autorisation à 40 jours de peine privative de liberté et a mis les frais de procédure, par 400 fr., à la charge du condamné (dossier référencé sous no PE18.010083-JON). Les faits retenus étaient les suivants : Sur l’autoroute A1 reliant Lausanne et Berne, à la jonction de [...], le 26 mai 2018, vers 21h15, X.________ a circulé au volant du véhicule automobile [...], immatriculé VD [...], alors que son permis de conduire avait été annulé le 14 novembre 2017. Le procureur a considéré qu’au vu des nombreux antécédents pour des faits de même nature, une peine pécuniaire n’apparaissait pas suffisante pour détourner X.________ de toute récidive. Une peine privative de liberté ferme devait ainsi être prononcée pour sanctionner son comportement. B. Par actes du 3 février 2020, remis à la Poste le 5 février 2020, X.________ a déposé auprès du Ministère public de l’arrondissement de Lausanne et du Ministère public central deux demandes de révision des ordonnances pénales précitées, concluant à un allègement de la sanction pénale. Le 7 février 2020, le Ministère public de Lausanne a transmis les deux demandes de révision à la Cour d’appel pénale du Tribunal cantonal. En d roit : 1.</w:t>
      </w:r>
    </w:p>
    <w:p>
      <w:r>
        <w:t>- 4 - 1.1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 demande de révision doit être motivée et adressée par écrit à la juridiction d’appel, les motifs de révision devant être exposés et justifiés dans la demande (art. 411 al. 1 CPP). Le requérant, en tant que condamné, a qualité pour demander la révision des ordonnances pénales des 4 mai 2018 et 27 juillet 2018. Dans cette mesure, la procédure écrite est applicable (art. 412 al. 1 in fine CPP). 1.2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Pour être valides en la forme, les demandes de révision doivent être motivées et adressées par écrit à la juridiction d’appel, les motifs de révision devant être exposés et justifiés dans la demande (art.</w:t>
      </w:r>
    </w:p>
    <w:p>
      <w:r>
        <w:t>- 5 - 411 al. 1 CPP ; Heer, Basler Kommentar, Schweizerische Strafprozessordnung, Jugenstrafprozessordung,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2e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143 IV 122 consid. 3.5) ou encore lorsque la demande de révision apparaît abusive (TF 6B _882/2017 du 23 mars 2018 consid. 1.1 ; TF 6B_1170/2015 du 10 octobre 2016 consid. 2). 1.3 En l’espèce, le requérant ne fait valoir aucun motif de révision. Il n’expose pas le moindre élément de fait ou moyen de preuve nouveau de nature à ébranler les constatations de fait sur lesquelles ses condamnations ont été fondées. Il n’y a donc aucun élément nouveau de nature à ébranler le principe de la condamnation ou la peine. Il résulte de ce qui précède que les demandes de révision présentées par X.________ doivent être déclarées irrecevables (art. 412 al. 2 CPP).</w:t>
      </w:r>
    </w:p>
    <w:p>
      <w:r>
        <w:t>- 6 - 2. Les frais de la procédure de révision, par 550 fr. (art. 21 al. 1 et 22 TFIP [tarif des frais de procédure et indemnités en matière pénale du 28 septembre 2010 ; BLV 312.03.1]), sont exceptionnellement laissés à la charge de l’Etat. Par ces motifs, la Cour d’appel pénale, en application des art. 410 al. 1 et 412 al. 2 CPP, prononce : I. Les demandes de révision sont irrecevables. II. Les frais de la procédure de révision, par 550 fr. (cinq cent cinquante francs), sont laissés à la charge de l’Etat. III. Le présent prononcé est exécutoire. La présidente : La greffière : Du Le prononcé qui précède, dont la rédaction a été approuvée à huis clos, est notifié, par l'envoi d'une copie complète, à : - X.________, - Ministère public central, et communiqué à : - M. le procureur de l’arrondissement de Lausanne, - Mme la procureure de l’arrondissement de l’Est vaudois, - Service de la population, par l'envoi de photocopies.</w:t>
      </w:r>
    </w:p>
    <w:p>
      <w:r>
        <w:t>- 7 -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