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PE18.009883 vom 26. Februar 2025</w:t>
      </w:r>
    </w:p>
    <w:p>
      <w:r>
        <w:t>VD Tribunal cantonal, 2025-02-26, FR</w:t>
      </w:r>
    </w:p>
    <w:p>
      <w:r>
        <w:rPr>
          <w:b/>
        </w:rPr>
        <w:t xml:space="preserve">Quelle: </w:t>
      </w:r>
      <w:r>
        <w:t>https://mcp.opencaselaw.ch/entscheid/vd_gerichte_PE18.009883</w:t>
      </w:r>
    </w:p>
    <w:p>
      <w:r>
        <w:t>FR: VD_GERICHTE PE18.009883 du 26 février 2025</w:t>
      </w:r>
    </w:p>
    <w:p>
      <w:r>
        <w:t>IT: VD_GERICHTE PE18.009883 del 26 febbraio 2025</w:t>
      </w:r>
    </w:p>
    <w:p>
      <w:pPr>
        <w:pStyle w:val="Heading2"/>
      </w:pPr>
      <w:r>
        <w:t>Erwägungen</w:t>
      </w:r>
    </w:p>
    <w:p>
      <w:r>
        <w:rPr>
          <w:b/>
        </w:rPr>
        <w:t>E. 5</w:t>
      </w:r>
    </w:p>
    <w:p>
      <w:r>
        <w:t>En définitive, le recours doit être admis et l’ordonnance entreprise annulée, le dossier de la cause étant renvoyé au Ministère public pour qu’il procède dans le sens des considérants.</w:t>
      </w:r>
    </w:p>
    <w:p>
      <w:r>
        <w:t>- 22 - L’avocat Alexandre Guyaz requiert une extension de son mandat d’office à la présente procédure de recours et demande sa désignation en qualité de conseil juridique gratuit pour cette procédure. La requête d’assistance judiciaire pour la procédure de recours présentée le 21 février 2025 doit être admise (art. 136 al. 3 CPP). Me Alexandre Guyaz, déjà consulté, sera désigné en qualité de conseil juridique gratuit (cf. CREP 13 janvier 2025/22 consid. 3 ; CREP 4 novembre 2024/790 consid. 7 ; CREP 20 septembre 2024/672 consid. 3). Les frais de la procédure de recours sont fixés à 2’200 fr. (art. 20 al. 1 TFIP [tarif des frais de procédure et indemnités en matière pénale du 28 septembre 2010 ; BLV 312.03.1]). Au vu du travail accompli par Me Alexandre Guyaz, il sera retenu une durée de sept heures et 50 minutes d’activité nécessaire d’avocat, conformément à la liste d’opérations produite en relation avec la présente procédure de recours. Au tarif horaire de 180 fr. (art. 2 al. 1 let. a et 3 al. 2 RAJ [règlement sur l'assistance judiciaire en matière civile du 7 décembre 2010 ; BLV 211.02.3], par renvoi de l'art. 26b TFIP), les honoraires nets s’élèvent à 1'410 francs. S'y ajoutent 2 % pour les débours (art. 3bis al. 1 RAJ, par renvoi de l'art. 26b TFIP), soit 28 fr. 20, et 8,1 % de TVA sur le tout, soit 116 fr. 50, de sorte que l'indemnité est arrêtée au total à 1'555 fr. en chiffres arrondis. Vu le sort du recours, les frais judiciaires et les frais imputables au conseil juridique gratuit seront laissés à la charge de l’Etat (art. 428 al. 4 CPP). S’agissant d’une infraction poursuivie d’office, peu importe que les prévenus, intimé au recours, qui succombent, aient conclu à son rejet.</w:t>
      </w:r>
    </w:p>
    <w:p>
      <w:r>
        <w:t>- 23 - Par ces motifs, la Chambre des recours pénale prononce : I. Le recours est admis. II. L’ordonnance du 5 juillet 2024 est annulée. III. Le dossier de la cause est renvoyé au Ministère public de l’arrondissement de Lausanne pour qu’il procède dans le sens des considérants. IV. La requête de désignation d’un conseil juridique gratuit pour la procédure de recours en la personne de Me Alexandre Guyaz est admise. V. L'indemnité allouée à Me Alexandre Guyaz, conseil juridique gratuit de A.I.________, B.I.________, A.E.________ et B.E.________, est fixée à 1'555 fr. (mille cinq cent cinquante-cinq francs). VI. Les frais d'arrêt, par 2’200 fr. (deux mille deux cents francs), ainsi que l'indemnité allouée à Me Alexandre Guyaz, par 1'555 fr. (mille cinq cent cinquante-cinq francs), sont laissés à la charge de l’Etat. VII. L’arrêt est exécutoire. Le président : Le greffier :</w:t>
      </w:r>
    </w:p>
    <w:p>
      <w:r>
        <w:t>- 24 - Du Le présent arrêt, dont la rédaction a été approuvée à huis clos, est notifié, par l'envoi d'une copie complète, à : - Me Alexandre Guyaz, avocat (pour A.I.________, B.I.________, A.E.________ et B.E.________), - Me Eric Muster, avocat (pour [...]), - Me Gilles Monnier, avocat (pour [...]), - Me Christian Favre, avocat (pour [...]), - Ministère public central, et communiqué à : - M. le Procureur de l’arrondissement de Lausanne, - Caisse cantonale vaudoise de compensation AVS, Recours contre les tiers responsables,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