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PE18.009634 vom 20. August 2018</w:t>
      </w:r>
    </w:p>
    <w:p>
      <w:r>
        <w:t>VD Tribunal cantonal, 2018-08-20, FR</w:t>
      </w:r>
    </w:p>
    <w:p>
      <w:r>
        <w:rPr>
          <w:b/>
        </w:rPr>
        <w:t xml:space="preserve">Quelle: </w:t>
      </w:r>
      <w:r>
        <w:t>https://mcp.opencaselaw.ch/entscheid/vd_gerichte_PE18.009634</w:t>
      </w:r>
    </w:p>
    <w:p>
      <w:r>
        <w:t>FR: VD_GERICHTE PE18.009634 du 20 août 2018</w:t>
      </w:r>
    </w:p>
    <w:p>
      <w:r>
        <w:t>IT: VD_GERICHTE PE18.009634 del 20 agosto 2018</w:t>
      </w:r>
    </w:p>
    <w:p>
      <w:pPr>
        <w:pStyle w:val="Heading2"/>
      </w:pPr>
      <w:r>
        <w:t>Erwägungen</w:t>
      </w:r>
    </w:p>
    <w:p>
      <w:r>
        <w:rPr>
          <w:b/>
        </w:rPr>
        <w:t>E. 4.1</w:t>
      </w:r>
    </w:p>
    <w:p>
      <w:r>
        <w:t>L’appelant conteste la réalisation de la circonstance aggravante de la bande retenue à sa charge, faisant valoir que seule la qualification de vol simple peut être retenue.</w:t>
      </w:r>
    </w:p>
    <w:p>
      <w:r>
        <w:rPr>
          <w:b/>
        </w:rPr>
        <w:t>E. 4.2</w:t>
      </w:r>
    </w:p>
    <w:p>
      <w:r>
        <w:t>L’affiliation à une bande (art. 139 ch. 3 al. 2 CP)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(ATF 132 IV 132 consid. 5.2, JdT 2007 IV 134). Du point de vue subjectif, il suffit que l'auteur connaisse et veuille les circonstances de fait qui correspondent à la définition de la bande (ATF 124 IV 86 consid. 2b; ATF 124 IV 286 consid. 2a).</w:t>
      </w:r>
    </w:p>
    <w:p>
      <w:r>
        <w:rPr>
          <w:b/>
        </w:rPr>
        <w:t>E. 4.3</w:t>
      </w:r>
    </w:p>
    <w:p>
      <w:r>
        <w:t>En l’occurrence, le prévenu et S.________, tous deux algériens, se connaissent depuis au moins huit ans. Ils se sont tous deux associés pour commettre plusieurs vols distincts. U.________, qui n’a jamais agi seul</w:t>
      </w:r>
    </w:p>
    <w:p>
      <w:r>
        <w:t>- 15 - et ne disposait pas de véhicule pour se déplacer, était toujours accompagné de S.________, dont ils utilisaient la voiture. L’appelant a lui- même déclaré qu’il n’agissait pas seul, que l’un observait et l’autre « piquait » l’argent, et qu’ils se partageaient le butin équitablement (PV aud. 9 R. 8). Il apparaît donc que ces deux comparses se répartissaient les rôles et qu’ils étaient soudés, interchangeables et solidaires. S.________ a quant à lui admis qu’il avait commis des vols avec U.________, qu’il a expressément reconnu sur une photographie et mis en cause (PV aud. 5 R. 27). C’est donc avec raison que le premier juge a considéré que l’appelant et S.________ constituaient une bande. L’appel doit donc être rejeté sur ce point.</w:t>
      </w:r>
    </w:p>
    <w:p>
      <w:r>
        <w:rPr>
          <w:b/>
        </w:rPr>
        <w:t>E. 5.1</w:t>
      </w:r>
    </w:p>
    <w:p>
      <w:r>
        <w:t>L’appelant conclut à la réduction de sa peine privative de liberté à 4 mois. Il fait valoir qu’elle est excessive, ce d’autant qu’elle est complémentaire à celle prononcée le 1er juin 2018.</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ss; ATF 134 IV 17 consid. 2.1 p. 19 ss). Le juge dispose d’un large pouvoir d’appréciation (TF 6B_849/2014 du 14 décembre 2015 consid. 2.1). Celui-ci ne viole le droit fédéral en fixant la peine que s’il sort du cadre légal, s’il se fonde sur des critères étrangers à l’art. 47 CP, s’il omet de prendre en considération des</w:t>
      </w:r>
    </w:p>
    <w:p>
      <w:r>
        <w:t>- 16 - éléments d’appréciation prévus par cette disposition ou, enfin, si la peine qu’il prononce est exagérément sévère ou clémente au point de constituer un abus de pouvoir d’appréciation (ATF 136 IV 55 consid. 5.6).</w:t>
      </w:r>
    </w:p>
    <w:p>
      <w:r>
        <w:rPr>
          <w:b/>
        </w:rPr>
        <w:t>E. 5.2.2</w:t>
      </w:r>
    </w:p>
    <w:p>
      <w:r>
        <w:t>Selon l'art. 40 CP, dans sa teneur au 1er janvier 2018, la durée de la peine privative de liberté est en règle générale de trois jours au moins et de 20 ans au plus. Lorsque la loi le prévoit expressément, la peine privative de liberté est prononcée à vie. Le vol en bande est sanctionné d’une peine privative de liberté de six mois à dix ans (art. 139 ch. 3 al. 2 CP). Le fait que l’auteur de vols s’affilie à une bande pour commettre l’infraction constitue une circonstance aggravante au sens de l’art. 27 CP (Dupuis et al., Petit commentaire du Code pénal, 2e éd., Bâle 2017, n. 6 ad art. 27 CP). Quiconque enfreint une assignation à un lieu de résidence ou une interdiction de pénétrer dans une région déterminée (art. 74) est puni d'une peine privative de liberté de trois ans au plus ou d'une peine pécuniaire (art. 119 al. 1 LEI).</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présence d’infractions pour lesquelles la partie spéciale du Code pénal retient la circonstance aggravante du métier, l’application du régime du concours est en principe exclue, sauf si l’auteur agit par périodes distinctes, faisant apparaître que les délits commis pendant chacune de ces périodes ne procèdent pas d’une décision unique (ATF 116 IV 121 consid. 2b, JdT 1991 IV 165). Si le juge doit prononcer une condamnation pour une infraction que l'auteur a commise avant d'avoir été condamné pour une autre</w:t>
      </w:r>
    </w:p>
    <w:p>
      <w:r>
        <w:t>- 17 -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p. 331 ; ATF 142 IV 265 consid. 2.3.3 p. 268).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p. 268 ; ATF 141 IV 61 consid. 6.1.2 p. 67). En présence d'un concours rétrospectif, le juge doit exceptionnellement exposer au moyen de chiffres comment il a fixé la peine qu'il prononce (ATF 142 IV 265 consid. 2.3.3 p. 268 ; ATF 132 IV 102 consid. 8.3).</w:t>
      </w:r>
    </w:p>
    <w:p>
      <w:r>
        <w:rPr>
          <w:b/>
        </w:rPr>
        <w:t>E. 5.2.4</w:t>
      </w:r>
    </w:p>
    <w:p>
      <w:r>
        <w:t>Selon l'art. 42 al. 1 CP, dans sa teneur au 1er janvier 2018,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t>- 18 -</w:t>
      </w:r>
    </w:p>
    <w:p>
      <w:r>
        <w:rPr>
          <w:b/>
        </w:rPr>
        <w:t>E. 5.2.5</w:t>
      </w:r>
    </w:p>
    <w:p>
      <w:r>
        <w:t>En l’espèce, U.________ s’est rendu coupable de trois vols en bande et d’infraction à la loi fédérale sur les étrangers. Sa culpabilité est lourde. Le prévenu n’a pas hésité à enfreindre l’assignation à résidence sur le territoire du [...] qui lui avait été notifiée le 20 septembre 2017. A charge, on retiendra également son passé judiciaire impressionnant, le prévenu ayant déjà été condamné à huit reprises durant les sept dernières années pour de nombreux vols et pour séjour illégal en Suisse. Durant l’instruction, le prévenu s’est contenté d’admettre les faits qui étaient incontestables. A décharge, il y a lieu de prendre en considération le fait que l’appelant est décrit comme un bon père. La peine privative de liberté de 9 mois prononcée par le premier juge est entièrement complémentaire à celle prononcée le 1er juin 2018, laquelle sanctionnait un vol et des infractions à la loi fédérale sur les étrangers par une peine privative de liberté de 3 mois. Si le premier juge avait eu connaissance de l’ensemble des infractions commises par l’appelant, la Cour d’appel, procédant à sa propre appréciation, considère que ce magistrat aurait prononcé une peine d’ensemble de 12 mois. Il s’ensuit que la peine privative de liberté ferme de 9 mois prononcée par le premier juge s’avère adéquate pour sanctionner le comportement délictueux du prévenu et doit être confirmée. Enfin, l’appelant ne bénéficiera pas du sursis, le pronostic étant manifestement défavorable, les sanctions prononcées durant les sept dernières années ne l’ayant pas dissuadé de commettre de nouvelles infractions du même genre.</w:t>
      </w:r>
    </w:p>
    <w:p>
      <w:r>
        <w:rPr>
          <w:b/>
        </w:rPr>
        <w:t>E. 6.1</w:t>
      </w:r>
    </w:p>
    <w:p>
      <w:r>
        <w:t>L’appelant conteste l’expulsion du territoire suisse prononcée à son encontre. Il soutient que l’expulsion obligatoire ne rentre pas en ligne de compte, qu’il est le père d’une petite fille née prématurément le 18 janvier 2017 qui séjourne en Suisse avec sa mère et qu’il entretient des liens étroits avec sa fille depuis sa naissance.</w:t>
      </w:r>
    </w:p>
    <w:p>
      <w:r>
        <w:rPr>
          <w:b/>
        </w:rPr>
        <w:t>E. 6.2</w:t>
      </w:r>
    </w:p>
    <w:p>
      <w:r>
        <w:t>- 19 -</w:t>
      </w:r>
    </w:p>
    <w:p>
      <w:r>
        <w:rPr>
          <w:b/>
        </w:rPr>
        <w:t>E. 6.2.1</w:t>
      </w:r>
    </w:p>
    <w:p>
      <w:r>
        <w:t>Aux termes de l'art. 66a al. 1 let. c CP, le juge expulse de Suisse l'étranger qui est condamné notamment pour vol qualifié (art. 139 ch. 2 et 3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la mise en œuvre de l'initiative sur le renvoi, questions choisies et premières jurisprudences, in: Forumpoenale 5/2017 p. 315; Fiolka/Vetterli, Die Landes-verweisung in Art. 66a ff StGB als strafrechtliche Sanktion, in: Plädoyer 5/2016 p. 84). L'art. 66a al. 2 CP définit une « Kannvorschrift », en ce sens que le juge n'a pas l'obligation de renoncer à l'expulsion, mais peut le faire si les conditions fixées par cette disposition sont remplies. Ces conditions sont cumulatives (cf. Busslinger/Uebersax, Härtefallklausel und Migrationsrecht der Landesverweisung, in: Plädoyer 5/2016 p. 97 s.; Berger, Umsetzungsgesetzgebung zur Ausschaffungs-initiative,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 situation personnelle grave » (TF 6B_506/2017 du 14 février 2018 consid. 1.1).</w:t>
      </w:r>
    </w:p>
    <w:p>
      <w:r>
        <w:t>- 20 -</w:t>
      </w:r>
    </w:p>
    <w:p>
      <w:r>
        <w:rPr>
          <w:b/>
        </w:rPr>
        <w:t>E. 6.2.2</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135 II 377 consid. 4.3 p. 381 s.; TF 6B_506/2017 du 14 février 2018 consid. 2.1).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w:t>
      </w:r>
    </w:p>
    <w:p>
      <w:r>
        <w:t>- 21 - d'un étranger établi s'analyse en une atteinte à son droit au respect de sa vie privée (arrêts CourEDH K.M. § 46; Ukaj § 29; Hasanbasic § 48; TF 6B_506/2017 du 14 février 2018 consid. 2.2). Par référence à la jurisprudence de la Cour européenne des droits de l'Homme ci-dessus, le critère de la "situation personnelle grave" a été défini à l'appui des éléments suivants: la nature et la gravité de l'infraction commise par l'étranger; la durée de son séjour dans le pays dont il doit être expulsé; le laps de temps écoulé entre la perpétration de l'infraction et la mesure litigieuse, ainsi que la conduite de l'intéressé durant cette période; la solidité des liens sociaux, culturels et familiaux avec le pays hôte et avec le pays de destination (TF 6B_506/2017 du 14 février 2018 consid. 2.2; CAPE 20 mars 2018/63).</w:t>
      </w:r>
    </w:p>
    <w:p>
      <w:r>
        <w:rPr>
          <w:b/>
        </w:rPr>
        <w:t>E. 6.3</w:t>
      </w:r>
    </w:p>
    <w:p>
      <w:r>
        <w:t>En l’occurrence, l’appelant a commis des infractions qui rendent son expulsion obligatoire au sens de l'art. 66a al. 1 let. c CP. Dépourvu de titre de séjour et de ressources, il fait l’objet d’une interdiction d’entrée sur le territoire helvétique jusqu’au 31 octobre 2020. L’appelant a été condamné à huit reprises depuis 2011, dont cinq fois pour vol. Toutefois, il est le père d’une enfant née prématurément en janvier 2017 avec qui il a tissé des liens et qui vit à Genève avec sa mère. Il y a donc lieu de procéder à une pesée des intérêts entre la dangerosité que représente le prévenu et le risque que présente pour lui une expulsion. Force est de constater à cet égard que le prévenu, qui a érigé la délinquance en mode de vie, n’est absolument pas socialisé, qu’il a poursuivi son activité délictueuse après la naissance de sa fille et qu’il n’est nullement menacé dans son pays d’origine, l’Algérie. Quant aux relations avec la mère de l’enfant, on observe que lien familial est quasi inexistant : c’est elle seule qui s’occupe de l’éducation de leur fille et ses visites en détention sont irrégulières. On ne saurait dès lors retenir que son expulsion vers l’Algérie l’exposerait à une situation personnelle grave dans le sens de la jurisprudence susmentionnée. Dans ces conditions et au vu de son parcours pénal important, le risque que présenterait pour</w:t>
      </w:r>
    </w:p>
    <w:p>
      <w:r>
        <w:t>- 22 - l'appelant le fait d'être expulsé de Suisse cède le pas à la sécurité et à l'ordre publics helvétiques. Il se justifie dès lors de confirmer l’expulsion de l’intéressé pour 5 ans, durée tenant précisément compte de la présence de l’enfant et correspondant au demeurant au nombre d’années le plus bas de la fourchette prévue par l'art. 66a al. 1 CP.</w:t>
      </w:r>
    </w:p>
    <w:p>
      <w:r>
        <w:rPr>
          <w:b/>
        </w:rPr>
        <w:t>E. 7</w:t>
      </w:r>
    </w:p>
    <w:p>
      <w:r>
        <w:t>L’appelant conclut au rejet des prétentions civiles formulées par B.________ et à la suppression du montant de 250 fr. alloué par le premier juge à celui-ci à titre de dommages et intérêts. La culpabilité d’U.________ étant confirmée, s’agissant notamment du cas no 4 de l’acte d’accusation, il n’y a pas lieu de revenir sur le montant alloué à B.________ par le jugement entrepris, lequel doit être confirmé sur ce point.</w:t>
      </w:r>
    </w:p>
    <w:p>
      <w:r>
        <w:rPr>
          <w:b/>
        </w:rPr>
        <w:t>E. 8</w:t>
      </w:r>
    </w:p>
    <w:p>
      <w:r>
        <w:t>La détention subie par l’appelant depuis le jugement de première instance doit être déduite (art. 51 CP). Le maintien en détention pour des motifs de sûreté du prévenu sera ordonné pour garantir l'exécution de la peine et de l’expulsion, vu le risque de fuite élevé qu’il présente (art. 221 al. 1 let. a CPP). En effet, dans l’hypothèse d’une libération, l’appelant entrera vraisemblablement dans la clandestinité pour se soustraire à la peine à laquelle il a été condamné. Le risque de récidive est également réalisé, le prévenu ne disposant d’aucunes ressources financières.</w:t>
      </w:r>
    </w:p>
    <w:p>
      <w:r>
        <w:rPr>
          <w:b/>
        </w:rPr>
        <w:t>E. 9</w:t>
      </w:r>
    </w:p>
    <w:p>
      <w:r>
        <w:t>En définitive l’appel interjeté par U.________ doit être rejeté et le jugement entrepris confirmé. Le chiffre VIII du dispositif du jugement rendu le 20 août 2018 et rectifié le 21 août 2018 par le Tribunal de police de l’arrondissement du Nord vaudois réglant le sort des frais de la procédure de première instance est rectifié d’office (art. 83 al. 1 CPP) en ce sens qu’U.________ ne sera tenu de rembourser à l’Etat le montant de l’indemnité allouée à son défenseur d'office que lorsque sa situation financière le permettra.</w:t>
      </w:r>
    </w:p>
    <w:p>
      <w:r>
        <w:t>- 23 - La liste des opérations produites par Me Rachid Hussein (P. 42) fait état de 8 heures et 24 minutes d’activité d’avocat breveté, sans compter le temps passé en audience d’appel le 18 décembre 2018, ainsi que de 2 vacations, y compris une vacation pour l’audience d’appel, et de 40 fr. 50 de débours. Le temps allégué est adéquat. Il convient d’ajouter le temps effectif de l’audience d’appel qui a duré 45 minutes. L’indemnité de défenseur d’office de Me Rachid Hussein pour la procédure d’appel est par conséquent fixée à 2'075 fr. 90 (1'647 fr. [honoraires] + 240 fr. [2 vacations] + 40 fr. 50 [débours] + 148 fr. 40 [TVA]). Vu l’issue de la cause, les frais de la procédure d'appel, par 4'345 fr. 90, constitués en l’espèce de l’émolument du présent jugement, par 2’270 fr. (art. 21 al. 1 et 2 TFIP [Tarif des frais de procédure et indemnités en matière pénale du 28 septembre 2010; RSV 312.03.1]), et de l’indemnité allouée au défenseur d'office de l’appelant (art. 422 al. 1 et 2 let. a CPP), par 2'075 fr. 90, seront mis à la charge d’U.________ qui succombe (art. 428 al. 1 CPP). U.________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