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PE18.009391 vom 19. September 2018</w:t>
      </w:r>
    </w:p>
    <w:p>
      <w:r>
        <w:t>VD Tribunal cantonal, 2018-09-19, FR</w:t>
      </w:r>
    </w:p>
    <w:p>
      <w:r>
        <w:rPr>
          <w:b/>
        </w:rPr>
        <w:t xml:space="preserve">Quelle: </w:t>
      </w:r>
      <w:r>
        <w:t>https://mcp.opencaselaw.ch/entscheid/vd_gerichte_PE18.009391</w:t>
      </w:r>
    </w:p>
    <w:p>
      <w:r>
        <w:t>FR: VD_GERICHTE PE18.009391 du 19 septembre 2018</w:t>
      </w:r>
    </w:p>
    <w:p>
      <w:r>
        <w:t>IT: VD_GERICHTE PE18.009391 del 19 settembre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w:t>
      </w:r>
    </w:p>
    <w:p>
      <w:r>
        <w:t>- 3 -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- 4 -</w:t>
      </w:r>
    </w:p>
    <w:p>
      <w:r>
        <w:rPr>
          <w:b/>
        </w:rPr>
        <w:t>E. 3</w:t>
      </w:r>
    </w:p>
    <w:p>
      <w:r>
        <w:t>Le recourant soutient que les propos contenus dans l’encart litigieux porteraient atteinte à son honneur et que, partant, l’infraction de diffamation ne pourrait être exclue.</w:t>
      </w:r>
    </w:p>
    <w:p>
      <w:r>
        <w:rPr>
          <w:b/>
        </w:rPr>
        <w:t>E. 3.1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[Code pénal; RS 311.0]). L'inculpé n'encourra aucune peine s'il prouve que les allégations qu'il a articulées ou propagées sont conformes à la vérité ou qu'il avait des raisons sérieuses de les tenir de bonne foi pour vraies (art. 173 ch. 2 CP). Cette disposition protège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Si l'allégation litigieuse ne porte atteinte qu'à la considération dont jouit le lésé dans sa profession ou ses affaires, il n'est pas visé par les art. 173 ss CP (ATF 115 IV 44 consid. 1, JdT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w:t>
      </w:r>
    </w:p>
    <w:p>
      <w:r>
        <w:t>- 5 -</w:t>
      </w:r>
    </w:p>
    <w:p>
      <w:r>
        <w:rPr>
          <w:b/>
        </w:rPr>
        <w:t>E. 3.2</w:t>
      </w:r>
    </w:p>
    <w:p>
      <w:r>
        <w:t>En matière de publications satiriques, peuvent être admises non seulement la vivacité de ton qui convient à ce genre, y compris l’absence de tact et de goût, mais également les allégations de faits qui blessent l’honneur lorsqu’on peut admettre que le public ne les a pas prises à la lettre (Barrelet/Werly, Droit de la communication, 2e éd., 2011, n. 1546 p. 469 ; CACI 2 mars 2017/23 consid. 3.2.4).</w:t>
      </w:r>
    </w:p>
    <w:p>
      <w:r>
        <w:rPr>
          <w:b/>
        </w:rPr>
        <w:t>E. 3.3</w:t>
      </w:r>
    </w:p>
    <w:p>
      <w:r>
        <w:t>La protection de l’honneur en matière d’allégations d’adultère fait l’objet d’une jurisprudence spécifique, s’agissant en particulier de savoir si l’on peut, depuis l'abrogation de l'art. 214 CP qui réprimait l'adultère (loi fédérale du 23 juin 1989 modifiant le Code pénal suisse et le Code pénal militaire, entrée en vigueur le 1er janvier 1990 ; RO 1989 p. 2449), considérer qu'une personne apparaît méprisable du seul fait qu'elle entretient une relation hors mariage. Selon la jurisprudence du Tribunal fédéral, le fait que l'adultère ait cessé d'être punissable ne signifie pas pour autant qu'il ne soit pas moralement réprouvé. La liberté sexuelle est certes entrée dans les mœurs. Il est vrai que la personne qui commet un adultère n'est aujourd'hui plus couverte d'opprobre. Le code civil exige cependant toujours, à l'art. 159 al. 3 CC (Code civil; RS 210), la fidélité des époux et conçoit ainsi la relation conjugale comme exclusive, pour chaque époux, de rapports semblables ou analogues avec un autre partenaire. L'adultère – s'il n'est plus une cause de divorce –, reste ainsi un acte illicite. Le conjoint qui entretient des relations intimes avec un tiers manque à ses engagements et trahit la confiance mise en lui par son partenaire. Il est bien souvent considéré encore aujourd'hui, dans la société, comme une personne déloyale, qui a manqué à sa parole, et sa réputation, sans être ruinée, sera néanmoins fortement compromise (TF 6S.5/2007 du 14 mars 2007 consid. 3 ; cf. également, en ce sens, TF 6B_983/2010 du 19 avril 2011 consid. 4.4.4 ; CREP 24 avril 2017/269 consid. 3 ; CAPE 21 juin 2018/199).</w:t>
      </w:r>
    </w:p>
    <w:p>
      <w:r>
        <w:t>- 6 -</w:t>
      </w:r>
    </w:p>
    <w:p>
      <w:r>
        <w:rPr>
          <w:b/>
        </w:rPr>
        <w:t>E. 3.4</w:t>
      </w:r>
    </w:p>
    <w:p>
      <w:r>
        <w:t>En l’espèce, le recourant explique qu’il est marié, [...], [...] et ancien [...]. Il exploite avec ses fils, à [...], un important domaine agricole, où une écurie permet d’héberger une cinquantaine de chevaux. Le recourant précise que l’encart en cause se réfère à la grossesse récemment apprise d’une amie, qu’il fréquente en toute discrétion. L’écrit litigieux fait expressément référence au centre équestre connu dans la région sous le nom de « [...]G.________» et qui fait partie du domaine agricole du recourant. Il indique également l’emplacement de celui-ci, au lieu-dit la [...]. Le recourant précise qu’il s’agit là de son domicile et que ses fils ne demeurent pas avec lui à cet endroit. Dans ces circonstances, il faut admettre que les gens de la région pouvaient assez aisément reconnaître le recourant comme étant la personne visée par l’annonce. En outre, malgré son caractère allusif, la petite annonce, par ses références à des articles de puériculture et à des préservatifs, évoque clairement une grossesse accidentelle, d’où peut être déduite l’existence de la relation extraconjugale entretenue par le recourant. Au vu de la jurisprudence précitée (cf. consid. 3.3 supra), le soupçon d’adultère contenu dans l’encart en cause est susceptible de porter atteinte à l’honneur du recourant.</w:t>
      </w:r>
    </w:p>
    <w:p>
      <w:r>
        <w:rPr>
          <w:b/>
        </w:rPr>
        <w:t>E. 3.5</w:t>
      </w:r>
    </w:p>
    <w:p>
      <w:r>
        <w:t>Il résulte de ce qui précède que l’ordonnance de non-entrée en matière est mal fondée, l’infraction de diffamation ne pouvant pas être exclue avec certitude à ce stade. Il appartiendra dès lors au Ministère public d’instruire la plainte. Il s’agira de rechercher l’identité de l’auteur ou des auteurs de l’écrit litigieux et d’examiner, le cas échant, si des preuves libératoires, au sens de l’art. 173 ch. 2 CP, peuvent être invoquées.</w:t>
      </w:r>
    </w:p>
    <w:p>
      <w:r>
        <w:rPr>
          <w:b/>
        </w:rPr>
        <w:t>E. 4</w:t>
      </w:r>
    </w:p>
    <w:p>
      <w:r>
        <w:t>En définitive, le recours doit être admis et l’ordonnance attaquée annulée. Le dossier de la cause sera renvoyé au Ministère public de l’arrondissement du Nord vaudois pour qu’il instruise la plainte (cf. consid. 3.5).</w:t>
      </w:r>
    </w:p>
    <w:p>
      <w:r>
        <w:t>- 7 - Les frais de la procédure de recours, constitués en l’espèce du seul émolument d'arrêt, par 770 fr. (art. 20 al. 1 TFIP [Tarif des frais de procédure et indemnités en matière pénale du 28 septembre 2010 ; RSV 312.03.1]), sont laissés à la charge de l’Etat (art. 423 al. 1 CPP). Quand bien même le recourant a pris ses conclusions avec suite de frais et dépens, il ne peut lui être alloué d’indemnité au sens de l’art. 433 CPP, faute de prévenu succombant à ce stade de la procédure (CREP 22 janvier 2018/77 consid. 5). Par ces motifs, la Chambre des recours pénale prononce : I. Le recours est admis. II. L’ordonnance du 5 juillet 2018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Me Philippe Chaulmontet, avocat (pour G.________), - Ministère public central,</w:t>
      </w:r>
    </w:p>
    <w:p>
      <w:r>
        <w:t>- 8 -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