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PE18.009005 vom 18. Februar 2020</w:t>
      </w:r>
    </w:p>
    <w:p>
      <w:r>
        <w:t>VD Tribunal cantonal, 2020-02-18, FR</w:t>
      </w:r>
    </w:p>
    <w:p>
      <w:r>
        <w:rPr>
          <w:b/>
        </w:rPr>
        <w:t xml:space="preserve">Quelle: </w:t>
      </w:r>
      <w:r>
        <w:t>https://mcp.opencaselaw.ch/entscheid/vd_gerichte_PE18.009005</w:t>
      </w:r>
    </w:p>
    <w:p>
      <w:r>
        <w:t>FR: VD_GERICHTE PE18.009005 du 18 février 2020</w:t>
      </w:r>
    </w:p>
    <w:p>
      <w:r>
        <w:t>IT: VD_GERICHTE PE18.009005 del 18 febbraio 2020</w:t>
      </w:r>
    </w:p>
    <w:p>
      <w:pPr>
        <w:pStyle w:val="Heading2"/>
      </w:pPr>
      <w:r>
        <w:t>Erwägungen</w:t>
      </w:r>
    </w:p>
    <w:p>
      <w:r>
        <w:rPr>
          <w:b/>
        </w:rPr>
        <w:t>E. 1.1</w:t>
      </w:r>
    </w:p>
    <w:p>
      <w:r>
        <w:t>L'art. 410 al. 1 let. a CPP (Code de procédure pénale suisse du</w:t>
      </w:r>
    </w:p>
    <w:p>
      <w:r>
        <w:rPr>
          <w:b/>
        </w:rPr>
        <w:t>E. 1.2</w:t>
      </w:r>
    </w:p>
    <w:p>
      <w:r>
        <w:t>Ce moyen de droit extraordinaire permet de revoir un jugement entré en force et entaché d'une erreur de fait. Moyen de droit subsidiaire, la révision n'est pas ouverte contre les décisions pour</w:t>
      </w:r>
    </w:p>
    <w:p>
      <w:r>
        <w:t>- 4 - lesquelles d'autres voies de recours sont ouvertes ; la révision ne doit en effet pas servir à pallier l'oubli d'un moyen de droit dit ordinaire (Moreillon/Parein-Reymond, Petit commentaire du Code de procédure pénale, 2e éd., Bâle 2016, n. 2 ad remarques préliminaires aux art. 410 à 415 CPP et la référence citée). Les conditions d'une révision visant une ordonnance pénale sont particulièrement restrictives. En effet, l'ordonnance pénale est rendue dans le cadre d'une procédure spéciale (art. 352 ss CPP), qui a pour spécificité de contraindre le condamné à prendre position. Une absence de réaction de la part du condamné s'interprète comme un acquiescement. S'il n'adhère pas à sa condamnation, par exemple parce qu'il entend se prévaloir de faits omis qu'il considère comme importants, il doit s'opposer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précité consid. 2.3). Cette jurisprudence, rendue avant l'entrée en vigueur du nouveau droit de procédure le 1er janvier 2011, garde sa portée (TF 6B_509/2016 du 21 décembre 2016 consid. 2 ; TF 6B_1291/2015 du 14 mars 2016 consid. 4.1 et les arrêts cités ; CAPE 4 novembre 2019/301 ; CAPE 27 septembre 2019/398).</w:t>
      </w:r>
    </w:p>
    <w:p>
      <w:r>
        <w:rPr>
          <w:b/>
        </w:rPr>
        <w:t>E. 1.3</w:t>
      </w:r>
    </w:p>
    <w:p>
      <w:r>
        <w:t>En vertu de l'art. 412 al. 2 CPP, la juridiction d'appel n'entre pas en matière sur la demande de révision si celle-ci est manifestement</w:t>
      </w:r>
    </w:p>
    <w:p>
      <w:r>
        <w:t>- 5 -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(ATF 143 IV 122 consid. 3.5 ; TF 6B_324/2019 du 24 avril 2019 consid. 3.1 et les références citées), ou encore lorsque la demande de révision apparaît abusive (TF 6B_324/2019 précité). Le refus d'entrer en matière s'impose alors pour des motifs d'économie de procédure, car si la situation est évidente, il n'y a pas de raison que l'autorité requière des déterminations (art. 412 al. 3 CPP) pour ensuite rejeter la demande (art. 413 al. 1 CPP ; TF 6B_574/2019 précité et les références citées). L'examen préalable de la demande de révision relève de la procédure écrite (art. 412 al. 1 CPP). 2. 2.1 Le requérant soutient que les faits retenus à son encontre dans l’ordonnance pénale entreprise seraient erronés. Il se prévaut des témoignages de ses amis R.________, Z.________ et T.________, qui le mettent hors de cause, et fait valoir qu’il n’aurait pas pu les alléguer dans le cadre de la procédure de première instance, ses amis lui ayant spécifiquement demandé de ne pas y être cités. 2.2 En l’espèce, B.________ n’a pas fait opposition à l’ordonnance pénale litigieuse. Lorsque celle-ci a été rendue, il savait déjà que ses amis avaient été témoins des faits et, si tel était véritablement le cas, que leurs témoignages pouvaient le mettre hors de cause. Dans sa demande de révision, il n’expose aucune raison légitime pour laquelle il n’a pas fait valoir ces moyens de preuve en temps utile dans le cadre de la procédure d’opposition à l’ordonnance pénale. A cet égard, il se contente d’expliquer que ses amis « lui avaient demandé de ne pas être cités dans la procédure, compte tenu de leur peur d’avoir à leur tour des problèmes</w:t>
      </w:r>
    </w:p>
    <w:p>
      <w:r>
        <w:t>- 6 - avec X.________, étant précisé que personne ne croyait qu’une ordonnance pénale serait rendue ». Il ressort toutefois des témoignages écrits de R.________ et de Z.________ qu’ils ne connaissaient pas X.________, de sorte que leur prétendue peur de représailles ne paraît aucunement justifiée. Aussi, dans la mesure où il connaissait les moyens aujourd’hui invoqués et qu’il n’avait aucune raison de les taire dans le cadre d’une éventuelle procédure d’opposition à l’ordonnance pénale rendue le 5 juillet 2018, B.________ ne peut plus, maintenant l’ordonnance pénale devenue exécutoire, en demander la révision pour des motifs qu’il aurait déjà pu faire valoir dans une procédure ordinaire en faisant opposition. Il s’ensuit que, dans la mesure où elle repose sur des faits que le requérant connaissait initialement, sa demande de révision doit être qualifiée d’abusive. 3. Il résulte de ce qui précède que la demande de révision déposée par B.________ doit être déclarée irrecevable, sans échange d’écritures (art. 412 al. 2 CPP). Vu l’issue de la cause, les frais de la procédure de révision, constitués en l'espèce du seul émolument d'arrêt, par 660 fr. (art. 21 al. 1 et 22 TFIP [Tarif des frais de procédure et indemnités en matière pénale du 28 septembre 2010 ; BLV 312.03.1]), seront mis à la charge du requérant, qui succombe (art. 428 al. 1 CPP). Dans la mesure où il n’obtient pas gain de cause et que sa demande de révision apparaissait d’emblée dénuée de chance de succès, aucune indemnité ne saurait lui être allouée.</w:t>
      </w:r>
    </w:p>
    <w:p>
      <w:r>
        <w:t>- 7 -</w:t>
      </w:r>
    </w:p>
    <w:p>
      <w:r>
        <w:rPr>
          <w:b/>
        </w:rPr>
        <w:t>E. 5</w:t>
      </w:r>
    </w:p>
    <w:p>
      <w:r>
        <w:t>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2e phrase, CPP). Cette disposition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6B_574/2019 du</w:t>
      </w:r>
    </w:p>
    <w:p>
      <w:r>
        <w:rPr>
          <w:b/>
        </w:rPr>
        <w:t>E. 9</w:t>
      </w:r>
    </w:p>
    <w:p>
      <w:r>
        <w:t>septembre 2019 consid. 1.1 et les références citées).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137 IV 59 précité consid. 5.1.4 ; ATF 130 IV 72 précité ; TF 6B_574/2019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