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PE18.008976 vom 25. Oktober 2018</w:t>
      </w:r>
    </w:p>
    <w:p>
      <w:r>
        <w:t>VD Tribunal cantonal, 2018-10-25, FR</w:t>
      </w:r>
    </w:p>
    <w:p>
      <w:r>
        <w:rPr>
          <w:b/>
        </w:rPr>
        <w:t xml:space="preserve">Quelle: </w:t>
      </w:r>
      <w:r>
        <w:t>https://mcp.opencaselaw.ch/entscheid/vd_gerichte_PE18.008976</w:t>
      </w:r>
    </w:p>
    <w:p>
      <w:r>
        <w:t>FR: VD_GERICHTE PE18.008976 du 25 octobre 2018</w:t>
      </w:r>
    </w:p>
    <w:p>
      <w:r>
        <w:t>IT: VD_GERICHTE PE18.008976 del 25 ottobre 2018</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RS 312.0]), est susceptible de recours selon les art. 393 ss CPP (Riklin, in : Niggli/Heer/Wiprächtiger [éd.], Basler Kommentar, Schweizerische Strafprozessordnung, Praxiskommentar, 2e éd., Bâle 2014, n. 5 ad art. 355 CPP; Schwarzenegger, in : Donatsch/ Hansjakob/Lieber [éd.], Kommentar zur Schweizerischen Strafprozessordnung, 2e éd. 2014, n. 2 ad art. 355 CPP; CREP 26 janvier 2015/59).</w:t>
      </w:r>
    </w:p>
    <w:p>
      <w:r>
        <w:t>- 4 -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une partie qui a qualité pour recourir (art. 382 al. 1 CPP) et dans les formes prescrites (art. 385 al. 1 CPP), de sorte qu’il est recevable.</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w:t>
      </w:r>
    </w:p>
    <w:p>
      <w:r>
        <w:t>- 5 -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l’abus de droit étant réservé (ATF 140 IV 82 consid. 2.3 et 2.5, JdT 2014 IV 301; TF 6B_328/2014 du 20 janvier 2015).</w:t>
      </w:r>
    </w:p>
    <w:p>
      <w:r>
        <w:rPr>
          <w:b/>
        </w:rPr>
        <w:t>E. 2.2</w:t>
      </w:r>
    </w:p>
    <w:p>
      <w:r>
        <w:t>En l’espèce, N.________ a été cité à comparaître à l’audience du Ministère public du 4 octobre 2018 par mandat de comparution du 16 août 2018, lequel comportait une indication claire des conséquences d’un éven- tuel défaut. Dans son recours, il soutient qu'il n'a pas reçu de citation à comparaître. Cela étant, le recourant ne pouvait pas ignorer qu'il était partie à une procédure pénale, puisqu'il avait fait opposition à l’ordonnance pénale du 4 juillet 2018, dont il avait pris connaissance par la copie qui lui avait été adressée sous pli simple le 23 juillet 2018, et qu’il avait de surcroît été avisé le 15 août 2018 que la Procureure adresserait aux parties une nouvelle décision conformément à la procédure prévue à l’art. 355 CPP. Il devait dès lors s'attendre à recevoir une communication de l’autorité et prendre des dispositions pour que les plis recommandés lui parviennent effectivement (cf. Juge unique CREP 20 novembre 2017/795 consid. 2.2 et les références citées). Partant, en ne retirant pas le pli recommandé contenant le mandat de comparution du 16 août 2018 dans le délai de garde postal alors qu'il savait qu'il devait prendre ses dispositions pour que les communications des autorités pénales puissent lui être notifiées, ce pli est réputé lui avoir été valablement notifié le 24 août 2018, dernier jour du délai de garde postal,</w:t>
      </w:r>
    </w:p>
    <w:p>
      <w:r>
        <w:t>- 6 - conformément à la fiction de notification prévue à l'art. 85 al. 4 let. a CPP (ATF 139 IV 228 consid. 1.1 et les références citées; TF 6B_704/2015 du 16 février 2016 consid. 2.3). Il résulte par ailleurs de l'ensemble du comportement du recourant que celui-ci s’est désintéressé de la suite de la procédure tout en étant conscient des droits dont il disposait. En définitive, N.________ ayant fait défaut sans excuse à l’audience du 4 octobre 2018, son opposition à l’ordonnance pénale du 4 juillet 2018 devait être réputée retirée, conformément à la présomption de retrait de l’art. 355 al. 2 CPP.</w:t>
      </w:r>
    </w:p>
    <w:p>
      <w:r>
        <w:rPr>
          <w:b/>
        </w:rPr>
        <w:t>E. 3</w:t>
      </w:r>
    </w:p>
    <w:p>
      <w:r>
        <w:t>Au vu de ce qui précède, le recours, manifestement mal fondé, doit être rejeté sans échange d’écritures (art. 390 al. 2 CPP) et l'ordonnance du</w:t>
      </w:r>
    </w:p>
    <w:p>
      <w:r>
        <w:rPr>
          <w:b/>
        </w:rPr>
        <w:t>E. 5</w:t>
      </w:r>
    </w:p>
    <w:p>
      <w:r>
        <w:t>octobre 2018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5 octobre 2018 est confirmée. III. Les frais de la procédure de recours, par 660 fr. (six cent soixante francs), sont mis à la charge du recourant.</w:t>
      </w:r>
    </w:p>
    <w:p>
      <w:r>
        <w:t>- 7 - IV. L’arrêt est exécutoire. Le président : Le greffier : Du Le présent arrêt, dont la rédaction a été approuvée à huis clos, est notifié, par l'envoi d'une copie complète, à : - M. N.________, - M. M.________, - Mme J.________, - Ministère public central, et communiqué à : - Mme la Procureure de l'arrondissement de l'Est vaudois, - Service de la population,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