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PE18.008748 vom 2. Juli 2019</w:t>
      </w:r>
    </w:p>
    <w:p>
      <w:r>
        <w:t>VD Tribunal cantonal, 2019-07-02, FR</w:t>
      </w:r>
    </w:p>
    <w:p>
      <w:r>
        <w:rPr>
          <w:b/>
        </w:rPr>
        <w:t xml:space="preserve">Quelle: </w:t>
      </w:r>
      <w:r>
        <w:t>https://mcp.opencaselaw.ch/entscheid/vd_gerichte_PE18.008748</w:t>
      </w:r>
    </w:p>
    <w:p>
      <w:r>
        <w:t>FR: VD_GERICHTE PE18.008748 du 2 juillet 2019</w:t>
      </w:r>
    </w:p>
    <w:p>
      <w:r>
        <w:t>IT: VD_GERICHTE PE18.008748 del 2 luglio 2019</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RSV 312.01]) est compétente pour statuer sur la demande de récusation présentée par R.________, dans la mesure où cette dernière est dirigée contre un membre du ministère public.</w:t>
      </w:r>
    </w:p>
    <w:p>
      <w:r>
        <w:rPr>
          <w:b/>
        </w:rPr>
        <w:t>E. 2</w:t>
      </w:r>
    </w:p>
    <w:p>
      <w:r>
        <w:t>- 4 -</w:t>
      </w:r>
    </w:p>
    <w:p>
      <w:r>
        <w:rPr>
          <w:b/>
        </w:rPr>
        <w:t>E. 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le cadre de l'instruction, le ministère public est tenu à une certaine impartialité même s'il peut être amené, provisoirement du moins, à adopter une attitude plus orientée à l'égard du prévenu ou à faire état</w:t>
      </w:r>
    </w:p>
    <w:p>
      <w:r>
        <w:t>- 5 -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2.1 ; TF 1B_46/2016 du 29 avril 2016 consid. 3.1 et les réf. citées).</w:t>
      </w:r>
    </w:p>
    <w:p>
      <w:r>
        <w:rPr>
          <w:b/>
        </w:rPr>
        <w:t>E. 2.2</w:t>
      </w:r>
    </w:p>
    <w:p>
      <w:r>
        <w:t>En l’occurrence, en rendant une ordonnance pénale à l’encontre de R.________ dans une précédente affaire, la Procureure [...] a assumé la fonction juridictionnelle dévolue au ministère public. Le fait que le requérant ne soit pas d’accord avec cette ordonnance, en estimant arbitraire la peine qui lui a été infligée – à savoir une peine pécuniaire de 180 jours-amende à 30 fr. le jour –, ne suffit pas à créer, objectivement, une apparence de prévention, dès lors qu’il n’avance aucun élément susceptible d’étayer sa requête de récusation. Ainsi, rien ne permet en l’état de penser que la Procureure n’observe pas une stricte impartialité. En outre, c’est le lieu de rappeler que le prévenu aurait pu former opposition à l’ordonnance pénale du 18 avril 2016 (cf. art. 354 al. 1 let. a CPP). Si R.________ n’a pas usé de toutes les voies de droit à sa disposition, il ne saurait en faire le reproche à la magistrate. Les griefs du requérant à l’endroit de la Procureure [...] doivent dès lors être rejetés.</w:t>
      </w:r>
    </w:p>
    <w:p>
      <w:r>
        <w:rPr>
          <w:b/>
        </w:rPr>
        <w:t>E. 3</w:t>
      </w:r>
    </w:p>
    <w:p>
      <w:r>
        <w:t>En définitive, la demande de récusation présentée par R.________ contre [...], Procureure de l’arrondissement de l’Est vaudois, manifestement mal fondée, doit être rejetée sans autre échange d'écritures (art. 390 al. 2 CPP). Les frais de la présente procédure, constitués en l’espèce du seul émolument de décision (art. 422 al. 1 CPP), par 660 fr. (art. 20 al. 1</w:t>
      </w:r>
    </w:p>
    <w:p>
      <w:r>
        <w:t>- 6 - TFIP [Tarif des frais de procédure et indemnités en matière pénale du 28 septembre 2010 ; BLV 312.03.1]), seront mis à la charge du requérant, conformément à l’art. 59 al. 4 CPP. Par ces motifs, la Chambre des recours pénale prononce : I. La demande de récusation présentée par R.________ contre [...], Procureure de l’arrondissement de l’Est vaudois, est rejetée. II. Les frais de décision, par 660 fr. (six cent soixante francs), sont mis à la charge de R.________. III. La décision est exécutoire. Le président : Le greffier : Du Le présent arrêt, dont la rédaction a été approuvée à huis clos, est notifié, par l'envoi d'une copie complète, à : - M. R.________, - Ministère public central, et communiqué à : - Mme la Procureure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