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PE18.008193 vom 13. August 2018</w:t>
      </w:r>
    </w:p>
    <w:p>
      <w:r>
        <w:t>VD Tribunal cantonal, 2018-08-13, FR</w:t>
      </w:r>
    </w:p>
    <w:p>
      <w:r>
        <w:rPr>
          <w:b/>
        </w:rPr>
        <w:t xml:space="preserve">Quelle: </w:t>
      </w:r>
      <w:r>
        <w:t>https://mcp.opencaselaw.ch/entscheid/vd_gerichte_PE18.008193</w:t>
      </w:r>
    </w:p>
    <w:p>
      <w:r>
        <w:t>FR: VD_GERICHTE PE18.008193 du 13 août 2018</w:t>
      </w:r>
    </w:p>
    <w:p>
      <w:r>
        <w:t>IT: VD_GERICHTE PE18.008193 del 13 agosto 2018</w:t>
      </w:r>
    </w:p>
    <w:p>
      <w:pPr>
        <w:pStyle w:val="Heading2"/>
      </w:pPr>
      <w:r>
        <w:t>Erwägungen</w:t>
      </w:r>
    </w:p>
    <w:p>
      <w:r>
        <w:rPr>
          <w:b/>
        </w:rPr>
        <w:t>E. 1</w:t>
      </w:r>
    </w:p>
    <w:p>
      <w:r>
        <w:t>- 4 -</w:t>
      </w:r>
    </w:p>
    <w:p>
      <w:r>
        <w:rPr>
          <w:b/>
        </w:rPr>
        <w:t>E. 1.1</w:t>
      </w:r>
    </w:p>
    <w:p>
      <w:r>
        <w:t>Aux termes de l’art. 393 al. 1 let. a CPP (Code de procédure pénale suisse du 5 octobre 2007 ;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 RSV 312.01] ; art. 80 LOJV [Loi d’organisation judiciaire ; RSV 173.01]).</w:t>
      </w:r>
    </w:p>
    <w:p>
      <w:r>
        <w:rPr>
          <w:b/>
        </w:rPr>
        <w:t>E. 1.2</w:t>
      </w:r>
    </w:p>
    <w:p>
      <w:r>
        <w:t>En vertu de l’art. 382 al. 1 CPP, le recourant doit en outre avoir un intérêt juridiquement protégé à l’annulation ou à la modification de la décision entreprise. En droit pénal, la recevabilité d’un recours dépend ainsi en particulier de l’existence d’un intérêt actuel à l’annulation de la décision querellée. Cet intérêt doit exister non seulement au moment du dépôt du recours, mais encore au moment où l’arrêt est rendu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 sur le tout : TF 1B_126/2016 du 8 juin 2016 consid. 1.1 ; CREP 8 novembre 2017/751 consid. 1.2 ; CREP 19 juillet 2016/485 consid. 1.2).</w:t>
      </w:r>
    </w:p>
    <w:p>
      <w:r>
        <w:rPr>
          <w:b/>
        </w:rPr>
        <w:t>E. 1.3</w:t>
      </w:r>
    </w:p>
    <w:p>
      <w:r>
        <w:t>En l’espèce, le recourant ne dispose plus d’un intérêt actuel à la modification de l’ordonnance attaquée, puisque la date de l’audience du 24 juillet 2018 dont il sollicitait qu’elle soit avancée est passée. Le recours</w:t>
      </w:r>
    </w:p>
    <w:p>
      <w:r>
        <w:t>- 5 - est donc sans objet. Il aurait de toute manière été rejeté, pour les motifs exposés ci-après.</w:t>
      </w:r>
    </w:p>
    <w:p>
      <w:r>
        <w:rPr>
          <w:b/>
        </w:rPr>
        <w:t>E. 2</w:t>
      </w:r>
    </w:p>
    <w:p>
      <w:r>
        <w:t>Le recourant se plaint d’une violation du principe de la célérité, soutenant qu’aucune mesure d’instruction n’aurait eu lieu depuis le 11 juin 2018 et que des raisons d’agenda ne constituaient pas une raison valable de ne pas avancer de deux semaines l’audition de la partie plaignante fixée au 24 juillet 2018.</w:t>
      </w:r>
    </w:p>
    <w:p>
      <w:r>
        <w:rPr>
          <w:b/>
        </w:rPr>
        <w:t>E. 2.1</w:t>
      </w:r>
    </w:p>
    <w:p>
      <w:r>
        <w:t>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 TF 6B_578/2017 du 16 février 2018 consid. 3.4.1). On ne saurait reprocher à l’autorité quelques temps morts, qui sont inévitables dans une procédure ; lorsqu’aucun d’eux n’est d’une longueur vraiment choquante, c’est l'appréciation d’ensemble qui prévaut (ATF 130 I 312 consid. 5.2 ; TF 6B_578/2017 précité). S’agissant des autorités pénales, l’art. 5 al. 1 CPP leur impose d’engager les procédures pénales sans délai et de les mener à terme sans retard injustifié. Lorsque le prévenu est placé en détention, la procédure doit être conduite en priorité (art. 5 al. 2 CPP).</w:t>
      </w:r>
    </w:p>
    <w:p>
      <w:r>
        <w:t>- 6 -</w:t>
      </w:r>
    </w:p>
    <w:p>
      <w:r>
        <w:rPr>
          <w:b/>
        </w:rPr>
        <w:t>E. 2.2</w:t>
      </w:r>
    </w:p>
    <w:p>
      <w:r>
        <w:t>En l’espèce, on ne distingue aucune violation du principe de la célérité, l’instruction ayant été menée sans discontinuer, y compris pendant la période du 11 juin au 24 juillet 2018 incriminée par le recourant. En effet, le 15 juin 2018, le procureur a cité la partie plaignanteU.________ à l’audience du 24 juillet 2018. En outre, il était prévu d’entendre le jeune [...], fils de la partie plaignante, le 29 juin 2018, mais, le pédiatre de l’enfant ayant indiqué que le garçon avait manifesté son opposition à être entendu et que l’obliger à être entendu pourrait être traumatisant, le procureur a renoncé le 27 juin 2018 à cette audition. Le 5 juillet 2018, le procureur a expliqué au recourant que l’audition de la partie plaignante avait été fixée à la date du 24 juillet 2018 afin de tenir compte des agendas des représentants de chaque partie ainsi que du procureur et qu’elle était par conséquent maintenue, ce qui échappe manifestement à la critique. En effet, il aurait été difficile, sinon impossible, de trouver une nouvelle date plus rapprochée à brève échéance alors qu’il avait déjà été difficile de coordonner les agendas plus d’un mois à l’avance pour le 24 juillet 2018, et cela pour gagner deux semaines seulement alors que l’instruction se poursuivait par ailleurs sans désemparer ; preuve en est que le 10 juillet 2018, le Procureur a encore adressé une demande de rapport médical au CHUV.</w:t>
      </w:r>
    </w:p>
    <w:p>
      <w:r>
        <w:rPr>
          <w:b/>
        </w:rPr>
        <w:t>E. 3</w:t>
      </w:r>
    </w:p>
    <w:p>
      <w:r>
        <w:t>Il résulte de ce qui précède que le recours, manifestement infondé en tant qu’il n’est pas sans objet, doit être rejeté sans autre échange d’écritures Les frais de la procédure de recours, constitués en l’espèce de l’émolument d'arrêt, par 660 fr. (art. 20 al. 1 TFIP [Tarif des frais de procédure et indemnités en matière pénale du 28 septembre 2010 ; RSV 312.03.1]) et des frais imputables à la défense d’office (art. 422 al. 1 et 2 let. a CPP), fixés à 540 fr., plus la TVA par 41 fr. 60, seront mis à la charge du recourant, qui succombe (art. 428 al. 1 CPP).</w:t>
      </w:r>
    </w:p>
    <w:p>
      <w:r>
        <w:t>- 7 - Le remboursement à l’Etat de l’indemnité allouée au défenseur d’office du recourant sera exigible dès que sa situation financière le permettra (art. 135 al. 4 CPP). Par ces motifs, la Chambre des recours pénale prononce : I. Le recours est rejeté en tant qu'il n'est pas sans objet. II. L'indemnité allouée au défenseur d'office du recourant est fixée à 581 fr. 60 (cinq cent huitante et un francs et soixante centimes). III. Les frais d'arrêt, par 660 fr. (six cent soixante francs) ainsi que l'indemnité due au défenseur d'office du recourant, par 581 fr. 60 ( cinq cent huitante et un francs et soixante centimes), sont mis à la charge de ce dernier. IV. Le remboursement à l'Etat de l'indemnité allouée au chiffre III ci-dessus sera exigible dès que la situation financière du recourant le permettra. V. L’arrêt est exécutoire. Le président : La greffière : Du Le présent arrêt, dont la rédaction a été approuvée à huis clos, est notifié, par l'envoi d'une copie complète, à : - Me Stephen Gintzburger, avocat (E.________), - Ministère public central, et communiqué à : - M. le Procureur de l'arrondissement de Lausanne,</w:t>
      </w:r>
    </w:p>
    <w:p>
      <w:r>
        <w:t>- 8 - - Mme U.________, - Service de la population, secteur A (3 février 1979).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