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PE18.007700 vom 27. Juni 2018</w:t>
      </w:r>
    </w:p>
    <w:p>
      <w:r>
        <w:t>VD Tribunal cantonal, 2018-06-27, FR</w:t>
      </w:r>
    </w:p>
    <w:p>
      <w:r>
        <w:rPr>
          <w:b/>
        </w:rPr>
        <w:t xml:space="preserve">Quelle: </w:t>
      </w:r>
      <w:r>
        <w:t>https://mcp.opencaselaw.ch/entscheid/vd_gerichte_PE18.007700</w:t>
      </w:r>
    </w:p>
    <w:p>
      <w:r>
        <w:t>FR: VD_GERICHTE PE18.007700 du 27 juin 2018</w:t>
      </w:r>
    </w:p>
    <w:p>
      <w:r>
        <w:t>IT: VD_GERICHTE PE18.007700 del 27 giugno 2018</w:t>
      </w:r>
    </w:p>
    <w:p>
      <w:pPr>
        <w:pStyle w:val="Heading2"/>
      </w:pPr>
      <w:r>
        <w:t>Erwägungen</w:t>
      </w:r>
    </w:p>
    <w:p>
      <w:r>
        <w:rPr>
          <w:b/>
        </w:rPr>
        <w:t>E. 1</w:t>
      </w:r>
    </w:p>
    <w:p>
      <w:r>
        <w:t>- 4 -</w:t>
      </w:r>
    </w:p>
    <w:p>
      <w:r>
        <w:rPr>
          <w:b/>
        </w:rPr>
        <w:t>E. 1.1</w:t>
      </w:r>
    </w:p>
    <w:p>
      <w:r>
        <w:t>Aux termes de l’art. 393 al. 1 let. a CPP (Code de procédure pénale suisse du 5 octobre 2007; RS 312.0), le recours est recevable, notamment, contre les décisions et actes de procédure de la police.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Le recours a été interjeté en temps utile (art. 396 al. 1 CPP) contre un inventaire de saisie dressé le 8 mars 2018. L’auteur du recours est le propriétaire des biens saisis. De même, il est incontesté que le recourant est un occupant du logement dans lequel une patrouille de police est intervenue le même jour. Ce dernier a ainsi un intérêt juridique à recourir (art. 382 al. 1 CPP). En outre, le recours a été établi dans les formes prescrites (art. 385 al. 1 CPP). Il est donc recevable.</w:t>
      </w:r>
    </w:p>
    <w:p>
      <w:r>
        <w:rPr>
          <w:b/>
        </w:rPr>
        <w:t>E. 2</w:t>
      </w:r>
    </w:p>
    <w:p>
      <w:r>
        <w:t>L’art. 213 al. 2 CPP prévoit que, lorsqu'il y a péril en la demeure, la police peut pénétrer dans des locaux sans mandat de perquisition. Selon l’art. 241 CPP, les perquisitions, fouilles et examens font l'objet d'un mandat écrit; en cas d'urgence ces mesures peuvent être ordonnées par oral, mais doivent être confirmées par écrit. A teneur de l’art. 244 al. 1 CPP, les bâtiments, les habitations et autres locaux non publics ne peuvent être perquisitionnés qu'avec le consentement de l'ayant droit. L’art. 244 al. 2 CPP prévoit diverses exceptions à ce principe. D’après l'art. 263 al. 1 let. a CPP, des objets et des valeurs patrimoniales appartenant au prévenu ou à des tiers peuvent être mis sous séquestre, lorsqu'il est probable qu'ils seront utilisés comme moyens de preuve. Selon l'art. 263 al. 3 CPP, lorsqu'il y a péril en la demeure, la police ou des particuliers peuvent provisoirement mettre en sûreté des</w:t>
      </w:r>
    </w:p>
    <w:p>
      <w:r>
        <w:t>- 5 - objets et des valeurs patrimoniales à l'intention du ministère public ou du tribunal.</w:t>
      </w:r>
    </w:p>
    <w:p>
      <w:r>
        <w:rPr>
          <w:b/>
        </w:rPr>
        <w:t>E. 3.1</w:t>
      </w:r>
    </w:p>
    <w:p>
      <w:r>
        <w:t>Le recourant conteste d’abord la légalité de la visite domiciliaire effectuée dans la soirée du 8 mars 2018, qu’il tient pour une perquisition au sens légal. Il formule une conclusion constatatoire en illicéité. Les déterminations déposées par le Commandant de la Police de Lausanne le 18 avril 2018 établissent cependant qu’il s’agissait de vérifier l’état du colocataire du recourant, à savoir d’une personne âgée dépendante de lui selon les propres dires du recourant. Ce dernier a du reste, dans ses déterminations du 1er mai 2018, expressément indiqué qu’il avait, lors de sa fouille du 8 mars 2018, annoncé qu’il vivait avec une personne âgée. Ce propos est confirmé par le rapport de police (P. 7/1, p. 6). Aucun autre moyen de preuve n’a été recueilli. Les faits étant ainsi constants, il est établi que la mesure en cause ne constituait pas une perquisition mais un simple contrôle effectué pour vérifier l’état de la personne dépendante momentanément privée de la présence de son colocataire. L’art. 244 CPP n’est donc pas topique. Au vu de la mention du recourant relative à l’existence d’une personne dépendante, laissée seule dans son logement, c’est à bon droit que la police a pénétré dans les locaux sans mandat de perquisition, dès lors qu’elle s’est fondée sur les propres indications du recourant et s’est limitée à vérifier si l’état de la personne dépendante exigeait des mesures, ce qui n’a du reste pas été le cas. La conclusion constatatoire du recours doit donc être rejetée.</w:t>
      </w:r>
    </w:p>
    <w:p>
      <w:r>
        <w:rPr>
          <w:b/>
        </w:rPr>
        <w:t>E. 3.2</w:t>
      </w:r>
    </w:p>
    <w:p>
      <w:r>
        <w:t>Le recourant conteste ensuite la saisie de son matériel de peinture, dont il demande la restitution immédiate. Il soutient que les sprays qui étaient en sa possession lors de l’intervention en cause étaient sous scellés, donc non encore utilisés. Aucune instruction pénale n’est ouverte auprès du Ministère public en relation avec des infractions pénales qui auraient été commises</w:t>
      </w:r>
    </w:p>
    <w:p>
      <w:r>
        <w:t>- 6 - par le recourant le 8 mars 2018. Il n’en reste pas moins que des investigations policières sont en cours en relation avec divers graffitis illégaux. Le matériel faisant l’objet de l’inventaire établi le jour en question est abondant (un bac, trois rouleaux, deux pots de peinture, une bouteille de peinture et six « bombes » de peinture, notamment). On ignore si tous les récipients étaient neufs, donc scellés. Quoi qu’il en soit, il n’est pas à exclure que des moyens identiques aient été utilisés pour peindre des graffitis illicites, donc à d’autres endroits que le site (autorisé) utilisé par les trois personnes provisoirement appréhendées. On ne saurait donc se limiter à considérer que la peinture était licite au lieu en question. Ces investigations prennent un certain temps. Un délai de quelques mois n’apparaît pas excessif à cet égard. En effet, un séquestre n’est, si nécessaire, prononcé que quelques temps après la saisie (CREP 28 juin 2014/373). Les moyens de preuve en question doivent donc rester à la disposition de la police pour la durée utile de l’enquête. Dans l’intervalle, les droits du recourant sont préservés par l’inventaire dûment établi, dont l’intéressé ne conteste du reste pas la teneur. Il ne démontre pas non plus avoir un besoin urgent de ce matériel, pour une activité lucrative, par exemple.</w:t>
      </w:r>
    </w:p>
    <w:p>
      <w:r>
        <w:rPr>
          <w:b/>
        </w:rPr>
        <w:t>E. 4</w:t>
      </w:r>
    </w:p>
    <w:p>
      <w:r>
        <w:t>En définitive, le recours doit être rejeté. L’inventaire de saisie attaqué est confirmé. En outre, il doit être constaté que la visite domiciliaire contestée est licite.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L’inventaire de saisie de la Police de Lausanne du 8 mars 2018 est confirmé. III. Il est constaté que la visite domiciliaire effectuée le 8 mars 2018 par la Police de Lausanne au lieu de résidence d’J.________, [...], [...], à Lausanne, est licite. IV. Les frais d’arrêt, par 660 fr. (six cent soixante francs), sont mis à la charge d’J.________. V. L’arrêt est exécutoire. Le président : Le greffier : Du Le présent arrêt, dont la rédaction a été approuvée à huis clos, est notifié, par l'envoi d'une copie complète, à : - M. J.________, - M. le Commandant de la Police de la commune de Lausanne,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