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PE18.007319 vom 5. August 2020</w:t>
      </w:r>
    </w:p>
    <w:p>
      <w:r>
        <w:t>VD Tribunal cantonal, 2020-08-05, FR</w:t>
      </w:r>
    </w:p>
    <w:p>
      <w:r>
        <w:rPr>
          <w:b/>
        </w:rPr>
        <w:t xml:space="preserve">Quelle: </w:t>
      </w:r>
      <w:r>
        <w:t>https://mcp.opencaselaw.ch/entscheid/vd_gerichte_PE18.007319</w:t>
      </w:r>
    </w:p>
    <w:p>
      <w:r>
        <w:t>FR: VD_GERICHTE PE18.007319 du 5 août 2020</w:t>
      </w:r>
    </w:p>
    <w:p>
      <w:r>
        <w:t>IT: VD_GERICHTE PE18.007319 del 5 agosto 2020</w:t>
      </w:r>
    </w:p>
    <w:p>
      <w:pPr>
        <w:pStyle w:val="Heading2"/>
      </w:pPr>
      <w:r>
        <w:t>Erwägungen</w:t>
      </w:r>
    </w:p>
    <w:p>
      <w:r>
        <w:rPr>
          <w:b/>
        </w:rPr>
        <w:t>E. 1.1</w:t>
      </w:r>
    </w:p>
    <w:p>
      <w:r>
        <w:t>Une décision du Ministère public d’administrer ou de refuser d’administrer une preuve au sens des art. 139 ss CPP (Code de procédure pénale suisse du 5 octobre 2007; RS 312.0) peut en principe faire l’objet d’un recours selon les art. 393 ss CPP (Keller, in : Donatsch/Hansjakob/Lieber [éd.], Kommentar zur Schweizerischen Strafprozessordnung, 2e éd., Zurich/Bâle/Genève 2014, n. 16 ad art. 393 CPP ; CREP 23 juin 2016/424 consid. 1 et les références citées). Toutefois, l'art. 394 let. b CPP précise que le recours est irrecevable lorsque le Ministère public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consid. 4 ; ATF 134 III 188 consid. 2.3 ; ATF 133 IV 139 consid. 4 ; ATF 99 Ia 437 consid. 1 ; TF 1B_189/2012 du 17 août 2012 consid. 1.2 ; TF 1B_688/2011 du 14 mars 2012). Mais tel n’est pas le cas lorsque le Ministère public refuse d’administrer des moyens de preuve qui risquent de disparaître et qui visent des faits décisifs non encore élucidés ; dans cette hypothèse, le recours est recevable (ATF 133 IV 335 consid. 4 ; ATF 101 Ia 161 ; ATF 98 Ib 282 consid. 4 ; TF 1B_189/2012 du 17 août 2012 consid. 1.2, SJ 2012 I 89 ; TF 1B_688/2011 du 14 mars 2012 et les références citées). De même, la loi accorde une certaine importance à ce que la validité d'une expertise psychiatrique – respectivement son caractère exploitable devant l'autorité de jugement – puisse être vérifiée au stade de l'instruction déjà : ainsi, la décision portant sur la nomination d'un expert et la mission confiée à celui-ci – énoncé des questions, étendue du mandat et provenance des pièces remises dans ce cadre – est un prononcé susceptible d'un recours au sens de l'art. 393 al. 1 let. a CPP (cf. TF 1B_242/2018 du 6 septembre 2018 consid. 2.4 et les références citées).</w:t>
      </w:r>
    </w:p>
    <w:p>
      <w:r>
        <w:t>- 5 -</w:t>
      </w:r>
    </w:p>
    <w:p>
      <w:r>
        <w:rPr>
          <w:b/>
        </w:rPr>
        <w:t>E. 1.2</w:t>
      </w:r>
    </w:p>
    <w:p>
      <w:r>
        <w:t>Déposé en temps utile (art. 396 al. 1 CPP) devant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par le prévenu qui a un intérêt digne de protection (art. 382 al. 1 CPP), le recours est recevable.</w:t>
      </w:r>
    </w:p>
    <w:p>
      <w:r>
        <w:rPr>
          <w:b/>
        </w:rPr>
        <w:t>E. 2.1</w:t>
      </w:r>
    </w:p>
    <w:p>
      <w:r>
        <w:t>Le recourant conteste la pertinence de l’expertise psychiatrique ordonnée le 10 juin 2020 et invoque le principe de la proportionnalité. Il considère que les indices de culpabilité à son égard seraient insuffisants, de sorte qu’il devrait être libéré de l’infraction d’incendie intentionnel et que, par conséquent, l’expertise psychiatrique serait inutile. Il fait valoir qu’il a toujours contesté l’intégralité des accusations portées contre lui, que les soupçons pesant sur lui n’auraient aucun fondement objectif et qu’une ordonnance de classement avait initialement été rendue en sa faveur. Le recourant estime en outre que, faute d’élément à même d’étayer lesdits soupçons, la protection de sa sphère privée et intime l’emporterait sur la nécessité de mettre en œuvre l’expertise psychiatrique.</w:t>
      </w:r>
    </w:p>
    <w:p>
      <w:r>
        <w:rPr>
          <w:b/>
        </w:rPr>
        <w:t>E. 2.2</w:t>
      </w:r>
    </w:p>
    <w:p>
      <w:r>
        <w:t>Aux termes de l’art. 20 CP (Code pénal suisse du 21 décembre 1937 ; RS 311.0),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Selon le Tribunal fédéral, même des doutes minimes peuvent justifier la nécessité d'une expertise (TF 6S.17/2002 du 7 mai 2002 consid. 1 c/cc). La ratio legis veut que le juge, qui ne dispose pas de connaissances spécifiques dans le domaine de</w:t>
      </w:r>
    </w:p>
    <w:p>
      <w:r>
        <w:t>- 6 - la psychiatrie, ne cherche pas à écarter ses doutes lui-même, fût-ce en se référant à la littérature spécialisée, mais que confronté à de telles circonstances, il recourt au spécialiste ;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consid. 4a ; ATF 102 IV 74 consid. 1 ; TF 6B_341/2010 du 20 juillet 2010 consid. 3.3.1). 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1ère phrase, CPP).</w:t>
      </w:r>
    </w:p>
    <w:p>
      <w:r>
        <w:rPr>
          <w:b/>
        </w:rPr>
        <w:t>E. 2.3</w:t>
      </w:r>
    </w:p>
    <w:p>
      <w:r>
        <w:t>En l’espèce, outre les infractions de vol d’importance mineure, de dommages à la propriété et de violation de domicile, de faible gravité, le recourant est poursuivi pour incendie intentionnel pour avoir bouté le feu à une écurie ainsi qu’à un hangar rural. Cette dernière infraction est particulièrement grave et elle est à même de justifier la mise en œuvre d’une expertise psychiatrique. Vu la nature de l’infraction en cause, il est en effet utile, pour des impératifs de sécurité publique, d’obtenir une appréciation du risque de récidive que pourrait présenter l’intéressé, ainsi que de savoir si l’instauration d’une mesure pénale pourrait éventuellement être opportune. De plus, sur le plan personnel, L.________ fait l’objet d’une mesure de curatelle (P. 27). Dans ces conditions, il est</w:t>
      </w:r>
    </w:p>
    <w:p>
      <w:r>
        <w:t>- 7 - tout à fait normal que l’autorité pénale puisse avoir un doute sur la responsabilité pénale de l’intéressé, à tout le moins quant au degré de celle-ci, et veuille mettre en œuvre une expertise psychiatrique. Par ailleurs, contrairement à ce que soutient le recourant, il existe des indices de culpabilité suffisants à son égard. Dans ses déterminations du 17 juillet 2020, le Ministère public central a en effet indiqué que la chronologie des déplacements de L.________ telle qu’elle ressortait des différents témoignages au dossier était compatible avec les horaires des incendies perpétrés (cf. P. 8). En outre, plusieurs personnes ont eu l’impression de reconnaître le prénommé comme la personne ayant été vue revenir de l’écurie incendiée (cf. P. 8). Enfin et surtout, à l’instar du Ministère public central, l’autorité de céans est d’avis, à ce stade, que L.________ pouvait vouloir s’en prendre, pour une raison ou une autre, à G.________, détenteur des bâtiments incendiés et dont les machines agricoles étaient entreposées à l’intérieur de ceux-ci (cf. P. 8 ; PV aud. 8). En effet, d’une part, l’intéressé s’est vu privé de son exploitation agricole, à tout le moins en partie, peu avant les faits au profit notamment de G.________. D’autre part, durant le week-end lors desquels les incendies ont eu lieu, les pneus de divers véhicules de G.________ ont été dégonflés dans un hangar à machines situés à [...], proche du domicile du prévenu. Or, le profil génétique de ce dernier a été retrouvé sur une valve d’un des pneus dégonflés précités. Dans ces circonstances, on peut soupçonner L.________ d’être impliqué dans les incendies litigieux. Au vu de l’ensemble des éléments qui précèdent, la nécessité de mettre en œuvre une expertise psychiatrique l’emporte, vu la gravité des faits reprochés au recourant et l’intensité des indices pesant sur lui, sur la protection des droits fondamentaux invoqués par celui-ci. Enfin, il n’y a pas lieu d’attendre l’audience de jugement pour savoir s’il convient d’ordonner ou non la mise en œuvre d’une expertise psychiatrique, afin de ne pas retarder toute la procédure. Pour ces motifs, la mise en œuvre de l’expertise psychiatrique à ce stade la procédure respecte le principe de la proportionnalité.</w:t>
      </w:r>
    </w:p>
    <w:p>
      <w:r>
        <w:t>- 8 -</w:t>
      </w:r>
    </w:p>
    <w:p>
      <w:r>
        <w:rPr>
          <w:b/>
        </w:rPr>
        <w:t>E. 3</w:t>
      </w:r>
    </w:p>
    <w:p>
      <w:r>
        <w:t>Il résulte de ce qui précède que le recours doit être rejeté et le mandat d’expertise attaqué confirmé. Les frais de la procédure de recours, constitués en l’espèce de l’émolument d'arrêt, par 880 fr. (art. 20 al. 1 TFIP [Tarif des frais de procédure et indemnités en matière pénale du 28 septembre 2010 ; BLV 312.03.1]), et des frais imputables à la défense d’office (art. 422 al. 1 et 2 let. a CPP), fixés à 630 fr. (3,5 heures au tarif horaire de 180 fr.), auxquels il convient d’ajouter des débours forfaitaires à concurrence de 2%, par 12 fr. 60, plus la TVA, par 49 fr. 50, soit à un total arrondi de 692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Le mandat d’expertise psychiatrique du 10 juin 2020 est confirmé. III. L’indemnité allouée au défenseur d’office de L.________ est fixée à 692 fr. (six cent nonante-deux francs). IV. Les frais d’arrêt, par 880 fr. (huit cent huitante francs), ainsi que l’indemnité allouée au défenseur d’office de L.________, par 692 fr. (six cent nonante-deux francs), sont mis à la charge de ce dernier. V. Le remboursement à l’Etat de l’indemnité allouée au chiffre III ci-dessus ne sera exigible que pour autant que la situation financière de L.________ le permette.</w:t>
      </w:r>
    </w:p>
    <w:p>
      <w:r>
        <w:t>- 9 - VI. L’arrêt est exécutoire. Le président : Le greffier : Du Le présent arrêt, dont la rédaction a été approuvée à huis clos, est notifié, par l'envoi d'une copie complète, à : - Me Sophie Leuenberger, avocat (pour L.________), - Ministère public central, et communiqué à : - M. le Procureur du Ministère public central, division affaires spéciales, - M. G.________, - M. [...],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