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PE18.007288 vom 2. Oktober 2018</w:t>
      </w:r>
    </w:p>
    <w:p>
      <w:r>
        <w:t>VD Tribunal cantonal, 2018-10-02, FR</w:t>
      </w:r>
    </w:p>
    <w:p>
      <w:r>
        <w:rPr>
          <w:b/>
        </w:rPr>
        <w:t xml:space="preserve">Quelle: </w:t>
      </w:r>
      <w:r>
        <w:t>https://mcp.opencaselaw.ch/entscheid/vd_gerichte_PE18.007288</w:t>
      </w:r>
    </w:p>
    <w:p>
      <w:r>
        <w:t>FR: VD_GERICHTE PE18.007288 du 2 octobre 2018</w:t>
      </w:r>
    </w:p>
    <w:p>
      <w:r>
        <w:t>IT: VD_GERICHTE PE18.007288 del 2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d’organisation judiciaire du 12 décembre 1979 ; RSV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w:t>
      </w:r>
    </w:p>
    <w:p>
      <w:r>
        <w:t>- 7 -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3.1 Z.________ a déposé plainte en raison de deux courriels du 1er septembre 2017 qu’il juge calomnieux, écrits par L.________ à la demande de sa responsable, F.________. Ces déclarations seraient selon lui fallacieuses, dès lors qu’il est persuadé d’avoir été licencié en raison de ses problèmes de santé. 3.2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w:t>
      </w:r>
    </w:p>
    <w:p>
      <w:r>
        <w:t>- 8 -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 TF 6B :676/2017 du 15 décembre 2017 consid. 3.1).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Corboz, op. cit., n. 11 ad art. 174 CP ;</w:t>
      </w:r>
    </w:p>
    <w:p>
      <w:r>
        <w:t>- 9 - Favre/Pellet/Stoudmann, Code pénal annoté, 3e éd., Lausanne 2011, n. 1.1 ad art. 174 CP). 3.3 En l’espèce, dans le premier courriel à sa cheffe du 1er septembre 2017 à 18h02 (P. 4/5/16), L.________ s’est plainte du fait que le recourant lui aurait fait des avances déplacées, qu’il se montrerait insistant et ne comprendrait pas qu’elle n’était pas intéressée. Interrogée par la police, celle-ci a confirmé qu’elle avait trouvé le comportement du recourant inapproprié et qu’il la mettait mal à l’aise, mais qu’il ne lui avait pas fait d’attouchements, ni d’avances intimes (PV aud., P. 4/0, R8). Dans ces conditions, on ne voit pas en quoi le contenu du courriel en question ferait passer l’intéressé pour une personne méprisable. On rappellera que pour apprécier si une déclaration est attentatoire à l'honneur, il faut se fonder non pas sur le sens que lui donne la personne visée, mais sur une interprétation objective. Or une telle interprétation permet en l'espèce d'exclure toute infraction contre l'honneur. Dans le second courriel envoyé le 1er septembre 2017 à 18h07 (P. 4/5/15), toujours à sa responsable, L.________ a indiqué qu’une cliente s’était plainte du recourant, que celui-ci l’aurait mal servie et lui aurait fait des avances, puis qu’il aurait été impoli avec elle quand elle les aurait refusées. Elle a ajouté que ce n’était pas la première personne à le lui dire et à lui demander de ne pas être servie par lui. A nouveau, on ne voit pas en quoi cet écrit pourrait exposer le recourant au mépris en sa qualité d'homme. On relèvera par ailleurs que la prévenue a utilisé le conditionnel pour rapporter les informations précitées à sa cheffe et qu’elle s’est montrée proportionnée et adéquate. Au surplus, comme l’a relevé la Procureure, les prévenues peuvent exciper de leur bonne foi et de leur absence d’intention délictuelle. A cet égard, le recourant ne développe aucun argument à l’encontre du raisonnement émis par la Procureure. Il se contente de</w:t>
      </w:r>
    </w:p>
    <w:p>
      <w:r>
        <w:t>- 10 - contester les déclarations des intéressées faites à la police, en proposant généralement une autre interprétation des faits. Il n’explique au surplus pas quelle conséquence cette autre version des faits pourrait impliquer sur le raisonnement de la Procureure. Il ne conteste d’ailleurs pas avoir eu des propos déplacés envers une cliente et d’avoir été averti formellement pour cela, admettant avoir écrit, dans un courriel du 7 juin 2016 à sa cheffe, F.________, qu’il avait une « personnalité chaleureuse et tactile », et qu’il travaillait pour y remédier, alors qu’il avait dit à une cliente qui se plaignait de bouffées de chaleur « j’espère que ce n’est pas moi qui vous fais ça » (cf. P. 6/1/G). En outre, dans un rapport d’entretien du 7 février 2017, sa cheffe, F.________, a indiqué avoir expliqué au recourant « l’impact de la communication et du respect de la zone de confort de ses collègues et clients » (P. 4/2). Or, sous le champ « Contestation du travailleur », ce rapport ne mentionne rien. Toujours est-il que ces événements qui ont précédé les deux courriels en cause attestent que le recourant a bien eu, sur son lieu de travail, un problème de comportement et de bonne distance avec les femmes, ce qu’il a lui-même reconnu. Partant, on ne voit pas en quoi le fait de relever ce problème et d’en tirer des conséquences serait diffamatoire, et encore moins calomnieux. La Procureure pouvait donc d’emblée tenir ces infractions comme exclues. 4. 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 RSV 312.03.1]), seront mis à la charge du recourant, qui succombe (art. 428 al. 1 CPP). Le montant de 440 fr. déjà versé par le recourant à titre de sûretés sera compensé avec les frais mis à sa charge (art. 383 al. 1 CPP ; art. 7 TFIP).</w:t>
      </w:r>
    </w:p>
    <w:p>
      <w:r>
        <w:t>- 11 - Par ces motifs, la Chambre des recours pénale prononce : I. Le recours est rejeté. II. L'ordonnance du 15 mai 2018 est confirmée. III. Les frais d'arrêt, par 1’100 fr. (mille cent francs), sont mis à la charge du recourant Z.________. IV. Les sûretés versées par le recourant Z.________, par 440 fr. (quatre cent quarante francs), sont déduites du montant arrêté sous chiffre III ci-dessus. V. L’arrêt est exécutoire. Le président : La greffière : Du Le présent arrêt, dont la rédaction a été approuvée à huis clos, est notifié, par l'envoi d'une copie complète, à : - M. Z.________, - Ministère public central, et communiqué à : - Mme L.________, - Mme F.________ - Mme la Procureure de l’arrondissement de Lausanne par l’envoi de photocopies. Le présent arrêt peut faire l'objet d'un recours en matière pénale devant le Tribunal fédéral au sens des art. 78 ss LTF (loi sur le</w:t>
      </w:r>
    </w:p>
    <w:p>
      <w:r>
        <w:t>- 12 -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