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PE18.007034 vom 2. Mai 2018</w:t>
      </w:r>
    </w:p>
    <w:p>
      <w:r>
        <w:t>VD Tribunal cantonal, 2018-05-02, FR</w:t>
      </w:r>
    </w:p>
    <w:p>
      <w:r>
        <w:rPr>
          <w:b/>
        </w:rPr>
        <w:t xml:space="preserve">Quelle: </w:t>
      </w:r>
      <w:r>
        <w:t>https://mcp.opencaselaw.ch/entscheid/vd_gerichte_PE18.007034</w:t>
      </w:r>
    </w:p>
    <w:p>
      <w:r>
        <w:t>FR: VD_GERICHTE PE18.007034 du 2 mai 2018</w:t>
      </w:r>
    </w:p>
    <w:p>
      <w:r>
        <w:t>IT: VD_GERICHTE PE18.007034 del 2 maggio 2018</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G.________ à l’encontre de la Procureure H.________ (art. 13</w:t>
      </w:r>
    </w:p>
    <w:p>
      <w:r>
        <w:t>- 3 - LVCPP [loi vaudoise du 19 mai 2009 d’introduction du code de procédure pénale suisse ; RSV 312.01]).</w:t>
      </w:r>
    </w:p>
    <w:p>
      <w:r>
        <w:rPr>
          <w:b/>
        </w:rPr>
        <w:t>E. 2.1</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la rendre suspecte de prévention ». L’art. 56 let. f CPP a la portée d’une clause générale recouvrant tous les motifs de récusation non expressément prévus aux lettres précédentes (ATF 143 IV 69 consid. 3.2 ; 138 IV 142 consid. 2.1).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consid. 3a ; TF 1B_629/2011 du 19 décembre 2011 consid.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 ATF 138 IV 142 consid. 2.1).</w:t>
      </w:r>
    </w:p>
    <w:p>
      <w:r>
        <w:t>- 4 -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il appartient à celui qui requiert la récusation de rendre plausibles les faits sur lesquels il fonde sa demande (art. 58 al. 1, 2e phrase, CPP).</w:t>
      </w:r>
    </w:p>
    <w:p>
      <w:r>
        <w:rPr>
          <w:b/>
        </w:rPr>
        <w:t>E. 2.3</w:t>
      </w:r>
    </w:p>
    <w:p>
      <w:r>
        <w:t>En l’espèce, le requérant invoque, à l’appui de sa demande de récusation, la « tournure » de la lettre de la Procureure du 16 avril 2018, d’une part, et le fait que la Procureure a rendu une ordonnance de classement sur une plainte qu’il avait précédemment déposée contre des tiers pour injure et menaces, d’autre part. La forme et le ton de la lettre de la Procureure du 16 avril 2018 sont usuels. Quant au contenu, il échappe à la critique, dès lors que les faits dénoncés par le requérant – avoir filmé quelqu’un sans son consentement et avoir utilisé les images contre lui – ne constituent pas en soi une infraction pénale et qu’ils ne pourraient dès lors justifier une entrée en matière que si, pour filmer, l’auteur s’était introduit sans droit dans le domicile du plaignant. La lettre du 16 avril 2018 ne dénote dès lors aucun parti pris contre le requérant. Quant à l’ordonnance de classement rendue le 16 décembre 2016 sur la plainte pour injure et menaces que le requérant avait déposée contre des tiers, elle ne saurait servir de fondement à une demande de récusation dans une affaire ultérieure. Il appartenait au requérant de la</w:t>
      </w:r>
    </w:p>
    <w:p>
      <w:r>
        <w:t>- 5 - contester en temps utile. Au demeurant, cette ordonnance se référait à l’art. 177 al. 2 CP, qui prévoit que, si l’injurié a riposté immédiatement par une injure ou des voies de fait, le juge pourra exempter les deux auteurs ou l’un d’eux de toute peine. Qu’il fût établi, comme le requérant le fait valoir dans sa demande de récusation, que les tiers prévenus dans cette précédente affaire lui avaient fait un doigt d’honneur ne fait dès lors pas apparaître le classement général ordonné par la Procureure comme révélateur d’un parti pris de celle-ci contre le requérant, qui ne conteste pas dans sa demande de récusation avoir lui-même tenu en premier des propos désobligeants contre l’une des prévenues. Force est ainsi de constater que les griefs formulés par le requérant ne permettent pas de suspecter la Procureure de prévention à l’égard de G.________.</w:t>
      </w:r>
    </w:p>
    <w:p>
      <w:r>
        <w:rPr>
          <w:b/>
        </w:rPr>
        <w:t>E. 3</w:t>
      </w:r>
    </w:p>
    <w:p>
      <w:r>
        <w:t>En définitive, la demande de récusation déposée le 18 avril 2018 par G.________ contre la Procureure H.________ doit être rejetée. Les frais de la présente procédure, constitués en l’espèce du seul émolument de décision (art. 422 al. 1 CPP),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18 avril 2018 par G.________ est rejetée. II. Les frais de la présente procédure, par 550 fr. (cinq cent cinquante francs), sont mis à la charge de G.________.</w:t>
      </w:r>
    </w:p>
    <w:p>
      <w:r>
        <w:t>- 6 - III. La décision est exécutoire. Le président : La greffière : Du La présente décision, dont la rédaction a été approuvée à huis clos, est notifiée, par l'envoi d'une copie complète, à : - M. G.________, - Ministère public central, et communiquée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