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PE18.006374 vom 22. Oktober 2018</w:t>
      </w:r>
    </w:p>
    <w:p>
      <w:r>
        <w:t>VD Tribunal cantonal, 2018-10-22, FR</w:t>
      </w:r>
    </w:p>
    <w:p>
      <w:r>
        <w:rPr>
          <w:b/>
        </w:rPr>
        <w:t xml:space="preserve">Quelle: </w:t>
      </w:r>
      <w:r>
        <w:t>https://mcp.opencaselaw.ch/entscheid/vd_gerichte_PE18.006374</w:t>
      </w:r>
    </w:p>
    <w:p>
      <w:r>
        <w:t>FR: VD_GERICHTE PE18.006374 du 22 octobre 2018</w:t>
      </w:r>
    </w:p>
    <w:p>
      <w:r>
        <w:t>IT: VD_GERICHTE PE18.006374 del 22 ottobre 2018</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Lembo/Julen Berthod, in : Kuhn/Jeanneret [éd.], Commentaire romand, Code de procédure pénale suisse, Bâle 2011, n. 4 ad art. 267 CPP ; CREP 11 janvier 2017/21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en temps utile par le prévenu qui a un intérêt juridique à l’annulation ou à la modification de l’ordonnance entreprise (art. 382 al. 1 CPP), et dans les formes prescrites (art. 385 al. 1 CPP), le recours est recevable.</w:t>
      </w:r>
    </w:p>
    <w:p>
      <w:r>
        <w:rPr>
          <w:b/>
        </w:rPr>
        <w:t>E. 2.1</w:t>
      </w:r>
    </w:p>
    <w:p>
      <w:r>
        <w:t>Le recourant soutient qu’il serait illégal et disproportionné de séquestrer son téléphone portable pour que les données qui y sont enregistrées puissent servir de preuve. Invoquant les art. 246 et 247 al. 3</w:t>
      </w:r>
    </w:p>
    <w:p>
      <w:r>
        <w:t>- 4 - CPP, il soutient que seules les informations contenues sur le support informatique auraient dû être séquestrées et que l’occasion aurait dû lui être donnée de remettre aux autorités une copie des messages whatsapp contenus dans son téléphone.</w:t>
      </w:r>
    </w:p>
    <w:p>
      <w:r>
        <w:rPr>
          <w:b/>
        </w:rPr>
        <w:t>E. 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(CREP 8 février 2017/102 consid. 2.2 et la référence citée).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(cf. Moreillon/Parein-Reymond, op. cit., n. 4 ad art. 246 CPP). Certes, selon l’art. 247 al. 3 CPP, le détenteur peut remettre aux autorités pénales des copies des documents et enregistrements concernés ainsi que des tirages des informations enregistrées si cela suffit aux besoins de la procédure. Le cas échéant, c’est donc cette copie qui sera séquestrée et versée au dossier, non le support original. Toutefois, le séquestre d’une copie ne peut remplacer le séquestre du support original que si ce procédé satisfait aux besoins de l’enquête.</w:t>
      </w:r>
    </w:p>
    <w:p>
      <w:r>
        <w:rPr>
          <w:b/>
        </w:rPr>
        <w:t>E. 2.3</w:t>
      </w:r>
    </w:p>
    <w:p>
      <w:r>
        <w:t>En l’espèce, le recourant fait l’objet d’une instruction pénale pour trafic de stupéfiants et détention d’armes. Ces infractions sont suffisamment graves pour justifier la saisie de données pouvant avoir un rapport avec elles, puis le séquestre d’une copie de ces données, si cette manière de procéder est suffisante pour les besoins de l’enquête ou, à ce défaut, le séquestre du téléphone portable lui-même.</w:t>
      </w:r>
    </w:p>
    <w:p>
      <w:r>
        <w:t>- 5 - Il ressort du procès-verbal des opérations qu’à ce jour, les experts forensiques n’ont pas réussi à extraire les données stockées dans l’appareil du recourant, en raison d’un problème de chiffrement. En l’état, les données ne peuvent être consultées que manuellement, sur l’appareil même. C’est dès lors à bon droit que le Ministère public a ordonné le séquestre du téléphone portable du recourant, en application de l’art. 263 al. 1 let. a CPP. Si ce motif était le seul à justifier le séquestre, il appartiendrait au Ministère public de donner instruction aux experts de continuer à chercher une manière de faire une copie utilisable des données et de lever le séquestre dès que ce serait chose faite (art. 267 al. 1 CPP). Toutefois, il n’est pas nécessaire de donner une telle instruction aux experts dans le cas présent, dès lors qu’il existe un autre motif de séquestre (cf. infra, consid. 3).</w:t>
      </w:r>
    </w:p>
    <w:p>
      <w:r>
        <w:rPr>
          <w:b/>
        </w:rPr>
        <w:t>E. 3.1</w:t>
      </w:r>
    </w:p>
    <w:p>
      <w:r>
        <w:t>Le recourant conteste également que son téléphone portable compromette la sécurité des personnes, la morale ou l’ordre public, au sens de l’art. 69 CP, et qu’il puisse dès lors être séquestré en vue de confiscation en application de l’art. 263 al. 1 let. d CPP. Il soutient qu’il faudrait pour le moins qu’une infraction grave ait été commise, ce qui ne serait jamais le cas s’agissant de trafic de marijuana, puisque la consommation de cette drogue ne pourrait pas mettre en danger la vie de nombreuses personnes.</w:t>
      </w:r>
    </w:p>
    <w:p>
      <w:r>
        <w:rPr>
          <w:b/>
        </w:rPr>
        <w:t>E. 3.2</w:t>
      </w:r>
    </w:p>
    <w:p>
      <w:r>
        <w:t>Le séquestre de type conservatoire prévu par l’art. 263 al. 1 let. d CPP est une mesure préparatoire à la confiscation éventuelle de biens,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(ATF 141 IV 360 consid. 3.2 ; ATF 140 IV 57 consid. 4.1.1 ; Lembo/Julen Berthod, op. cit., n. 7 ad art. 263 CPP). Cette mesure conservatoire est fondée sur la vraisemblance : la seule probabilité que ces biens soient issus d’une infraction ou qu’ils aient servi à la commission</w:t>
      </w:r>
    </w:p>
    <w:p>
      <w:r>
        <w:t>- 6 - d’une infraction est suffisante, tant que l’instruction n’est pas achevée (CREP 1er février 2018/71 consid. 2.2.2 ; CREP 15 décembre 2017/863 consid. 2.1 ; Moreillon/Parein-Reymond, op. cit., n.20 ad art. 263 CPP et les références citées). Il doit exister un rapport de connexité entre l’objet du séquestre conservatoire et l’infraction poursuivie (principe de spécialité) (ATF 140 IV 57 consid. 4.1.2 ; Lembo/Julen Berthod, op. cit., n. 17 ad art. 263 CPP). Ce lien de connexité existe lorsque l’objet séquestré est en relation directe avec l’infraction, qu’il ait servi à la commettre ou en soit le produit (Lembo/Julen Berthod, op. cit., n. 24 ad art. 263 CPP).</w:t>
      </w:r>
    </w:p>
    <w:p>
      <w:r>
        <w:rPr>
          <w:b/>
        </w:rPr>
        <w:t>E. 3.3</w:t>
      </w:r>
    </w:p>
    <w:p>
      <w:r>
        <w:t>En l’espèce, le recourant admet avoir utilisé le téléphone portable séquestré pour faire du trafic de marijuana. Contrairement à ce que soutient la défense, il importe peu de savoir si un tel trafic constitue une infraction simple ou grave à la loi fédérale sur les stupéfiants. Si, en effet, la qualification d’infraction grave à la LStup suppose la mise en danger de nombreuses personnes (art. 19 al. 2 let. a LStup), il n’est toutefois pas nécessaire que, laissé en mains de l’auteur, l’objet compromette la sécurité de nombreuses personnes pour pouvoir être confisqué ; pour qu’un objet soit dangereux et susceptible d’être confisqué en application de l’art. 69 CP, il suffit qu’il compromette la sécurité des personnes, sans indication quantitative. En outre, même si le téléphone portable est un objet dont il est de nos jours difficile de se passer, il n’est pas disproportionné de priver provisoirement d’un tel objet, jusqu’à droit connu sur une éventuelle confiscation, un prévenu suspecté de s’en être servi pour se livrer à un trafic de stupéfiants, infraction qui, même simple, met en danger la santé des personnes. Il s’ensuit que c’est également à bon droit que le Ministère public a ordonné le séquestre du téléphone portable du recourant en application de l’art. 263 al. 1 let. d CPP.</w:t>
      </w:r>
    </w:p>
    <w:p>
      <w:r>
        <w:rPr>
          <w:b/>
        </w:rPr>
        <w:t>E. 4.1</w:t>
      </w:r>
    </w:p>
    <w:p>
      <w:r>
        <w:t>Enfin, le recourant soutient qu’en mettant près de six mois à compter de la saisie du téléphone pour rendre l’ordonnance attaquée, en dépit des demandes réitérées de décision rapide que la défense a présentées dès le 4 mai 2018, le Ministère public aurait tardé à statuer et commis un déni de justice formel.</w:t>
      </w:r>
    </w:p>
    <w:p>
      <w:r>
        <w:t>- 7 -</w:t>
      </w:r>
    </w:p>
    <w:p>
      <w:r>
        <w:rPr>
          <w:b/>
        </w:rPr>
        <w:t>E. 4.2</w:t>
      </w:r>
    </w:p>
    <w:p>
      <w:r>
        <w:t>A teneur de l’art. 29 al. 1 Cst. (Constitution fédérale de la Confédération suisse du 18 avril 1999 ; RS 101),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 pour l'issue du litige, commet un déni de justice formel proscrit par l'art. 29 al. 1 Cst. (ATF 135 I</w:t>
      </w:r>
    </w:p>
    <w:p>
      <w:r>
        <w:rPr>
          <w:b/>
        </w:rPr>
        <w:t>E. 4.3</w:t>
      </w:r>
    </w:p>
    <w:p>
      <w:r>
        <w:t>Il n’y a en l’espèce pas lieu d’examiner si le Ministère public avait ou non des raisons légitimes de ne pas décider plus tôt du séquestre du téléphone portable saisi lors de la perquisition du 8 avril 2018, dès lors que le recourant se contente d’invoquer une violation du principe de célérité, mais ne conclut pas au constat d’un retard injustifié, ni a fortiori n’explique en quoi il aurait un intérêt à faire constater un tel retard. En toute hypothèse, un éventuel retard injustifié n’entraînerait pas la nullité du séquestre, seule mesure attaquée par le recours. 5. Il résulte de ce qui précède que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 RSV 312.03.1]), et des frais imputables à la défense d’office (art. 422 al. 1 et 2 let. a CPP), fixés à 360 fr., plus la TVA par 27 fr. 70, soit un total de 387 fr. 70, seront mis à la charge du recourant, qui succombe (art. 428 al. 1 CPP).</w:t>
      </w:r>
    </w:p>
    <w:p>
      <w:r>
        <w:t>- 8 -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de séquestre du 2 octobre 2018 est confirmée. III. L’indemnité allouée au défenseur d’office du recourant est fixée à 387 fr. 70 (trois cent huitante-sept francs et septante centimes). IV. Les frais d’arrêt, par 880 fr. (huit cent huitante francs), ainsi que l’indemnité allouée au défenseur d’office de E.________, sont mis à la charge de ce dernier. V. Le remboursement à l’Etat de l’indemnité allouée au chiffre III ci-dessus ne sera exigible que pour autant que la situation économique de E.________ le permette. VI. L’arrêt est exécutoire. Le président : La greffière : Du Le présent arrêt, dont la rédaction a été approuvée à huis clos, est notifié, par l'envoi d'une copie complète, à : - Me Kathrin Gruber, avocate (pour E.________), - Ministère public central,</w:t>
      </w:r>
    </w:p>
    <w:p>
      <w:r>
        <w:t>- 9 -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r>
        <w:rPr>
          <w:b/>
        </w:rPr>
        <w:t>E. 6</w:t>
      </w:r>
    </w:p>
    <w:p>
      <w:r>
        <w:t>consid. 2.1 ; ATF 134 I 229 consid. 2.3 ; TF 6B_868/2016 du 9 juin 2017 consid. 3.1). Un défaut de réponse du magistrat à une requête ne fonde pas automatiquement le grief de déni de justice (JdT 2012 III 27 et les références citées ; CREP 15 janvier 2013/12 ; CREP 1er mars 2013/112).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