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PE18.005569 vom 2. April 2018</w:t>
      </w:r>
    </w:p>
    <w:p>
      <w:r>
        <w:t>VD Tribunal cantonal, 2018-04-02, FR</w:t>
      </w:r>
    </w:p>
    <w:p>
      <w:r>
        <w:rPr>
          <w:b/>
        </w:rPr>
        <w:t xml:space="preserve">Quelle: </w:t>
      </w:r>
      <w:r>
        <w:t>https://mcp.opencaselaw.ch/entscheid/vd_gerichte_PE18.005569</w:t>
      </w:r>
    </w:p>
    <w:p>
      <w:r>
        <w:t>FR: VD_GERICHTE PE18.005569 du 2 avril 2018</w:t>
      </w:r>
    </w:p>
    <w:p>
      <w:r>
        <w:t>IT: VD_GERICHTE PE18.005569 del 2 aprile 2018</w:t>
      </w:r>
    </w:p>
    <w:p>
      <w:pPr>
        <w:pStyle w:val="Heading2"/>
      </w:pPr>
      <w:r>
        <w:t>Erwägungen</w:t>
      </w:r>
    </w:p>
    <w:p>
      <w:r>
        <w:rPr>
          <w:b/>
        </w:rPr>
        <w:t>E. 1</w:t>
      </w:r>
    </w:p>
    <w:p>
      <w:r>
        <w:t>L'art. 395 let. a CPP (Code de procédure pénale suisse du 5 octobre 2007 ; RS 312.0)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En l’espèce, l’ordonnance rendue le 2 mars 2018 par le Préfet du district de Lavaux-Oron porte sur l’infraction de violation simple des règles de la circulation routière, à savoir exclusivement une contravention. Partant, c'est un membre de la Chambre des recours pénale qui est compétent pour statuer en tant que juge unique (art. 13 al. 2 LVCPP [loi d’introduction du code de procédure pénale suisse ; RSV 312.01]).</w:t>
      </w:r>
    </w:p>
    <w:p>
      <w:r>
        <w:rPr>
          <w:b/>
        </w:rPr>
        <w:t>E. 2.1</w:t>
      </w:r>
    </w:p>
    <w:p>
      <w:r>
        <w:t>Interjeté dans le délai légal (art. 322 al. 2 CPP [Code de procédure pénale suisse du 5 octobre 2007; RS 312.0] et 396 al. 1 CPP) contre une décision de l’autorité compétente en matière de contraventions (art. 393 al. 1 let. a CPP), le recours est déposé en temps utile; il satisfait en outre aux autres conditions légales (art. 385 al. 1 CPP), de sorte qu’il est recevable en la forme.</w:t>
      </w:r>
    </w:p>
    <w:p>
      <w:r>
        <w:rPr>
          <w:b/>
        </w:rPr>
        <w:t>E. 2.2</w:t>
      </w:r>
    </w:p>
    <w:p>
      <w:r>
        <w:t>Aux termes de l’art. 382 al. 1 CPP, toute partie qui a un intérêt juridiquement protégé à l’annulation ou à la modification d’une décision a qualité pour recourir contre celle-ci. En l’espèce, dans la mesure où l’ordonnance attaquée classe la procédure pénale dirigée contre lui pour violation simple des règles de la circulation routière et laisse les frais de procédure à la charge de l’Etat, le recourant n’a pas d’intérêt à obtenir l’annulation ou la modification de cette décision et n’a donc pas qualité pour recourir (art. 382 al. 1 CPP). Autrement dit, Q.________ n’a manifestement pas réalisé que l’ordonnance attaquée lui était entièrement favorable, aucune infraction ne lui étant reprochée et les frais n’étant pas mis à sa charge.</w:t>
      </w:r>
    </w:p>
    <w:p>
      <w:r>
        <w:t>- 4 -</w:t>
      </w:r>
    </w:p>
    <w:p>
      <w:r>
        <w:rPr>
          <w:b/>
        </w:rPr>
        <w:t>E. 3</w:t>
      </w:r>
    </w:p>
    <w:p>
      <w:r>
        <w:t>Il résulte de ce qui précède que le recours doit être déclaré irrecevable, sans autre échange d’écritures (art. 390 al. 2 CPP). Les frais de la procédure de recours, constitués du seul émolument d'arrêt, par 360 fr. (art. 20 al. 1 TFIP [Tarif des frais de procédure et indemnités en matière pénale du 28 septembre 2010, RSV 312.03.1]), pourraient être mis à la charge de Q.________, celui-ci devant être considéré comme ayant succombé (art. 428 al. 1 CPP). Toutefois, à titre exceptionnel et compte tenu des circonstances particulières de la cause, ces frais seront laissés à la charge de l’Etat (art. 425 CPP). Par ces motifs, le juge unique prononce : I. Le recours est irrecevable. II. Les frais d’arrêt, par 360 fr. (trois cent soixante francs), sont laissés à la charge de l’Etat. III. L’arrêt est exécutoire. Le juge unique : La greffière : Du Le présent arrêt, dont la rédaction a été approuvée à huis clos, est notifié, par l'envoi d'une copie complète, à : - M. Q.________, - Ministère public central ;</w:t>
      </w:r>
    </w:p>
    <w:p>
      <w:r>
        <w:t>- 5 - et communiqué à : - M. le Préfet du district de Lavaux-Oron,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