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PE18.005224 vom 5. Oktober 2018</w:t>
      </w:r>
    </w:p>
    <w:p>
      <w:r>
        <w:t>VD Tribunal cantonal, 2018-10-05, FR</w:t>
      </w:r>
    </w:p>
    <w:p>
      <w:r>
        <w:rPr>
          <w:b/>
        </w:rPr>
        <w:t xml:space="preserve">Quelle: </w:t>
      </w:r>
      <w:r>
        <w:t>https://mcp.opencaselaw.ch/entscheid/vd_gerichte_PE18.005224</w:t>
      </w:r>
    </w:p>
    <w:p>
      <w:r>
        <w:t>FR: VD_GERICHTE PE18.005224 du 5 octobre 2018</w:t>
      </w:r>
    </w:p>
    <w:p>
      <w:r>
        <w:t>IT: VD_GERICHTE PE18.005224 del 5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interjeté dans le délai légal par la partie plaignante qui a qualité pour recourir (art. 382 al. 1 CPP) et dans les formes prescrites (art. 385 al. 1 CPP), le recours est recevable.</w:t>
      </w:r>
    </w:p>
    <w:p>
      <w:r>
        <w:rPr>
          <w:b/>
        </w:rPr>
        <w:t>E. 2.1</w:t>
      </w:r>
    </w:p>
    <w:p>
      <w:r>
        <w:t>La recourante invoque que sa plainte portait sur autre enseigne que l’enseigne « Z.________» qui a fait l’objet de l’enquête préliminaire, à savoir l’enseigne « Y.________». Bien que l’enseigne « Z.________» soit située à l’arrière du bâtiment, l’adresse serait la même, soit rue [...].</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w:t>
      </w:r>
    </w:p>
    <w:p>
      <w:r>
        <w:t>- 4 -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En l’espèce, la plainte pénale est vague et ne mentionne pas l’intitulé de l’enseigne. Les plaignants eux-mêmes ne sont pas très clairs. En effet, lors de son audition par la police, W.________, cosignataire de la plainte, mentionne expressément qu’il s’agit de l’enseigne « Z.________ » et produit une photographie de cette enseigne. La recourante en revanche paraît laisser entendre, sans le dire expressément, qu’il s’agit de l’autre enseigne, soit « Y.________ ». Elle relève que cette enseigne était apposée côté rue [...] et que, dans la mesure où ni la précédente locataire, ni I.________ n’ont exploité de boulangerie à cet endroit, cet objet n’aurait pas pu faire partie du fonds de commerce racheté par I.________. Au vu de ce qui précède, il existe un flou quant à l’objet de la plainte pénale. Il appartiendra donc au Ministère public d’éclaircir les faits, en instruisant plus avant la présente cause.</w:t>
      </w:r>
    </w:p>
    <w:p>
      <w:r>
        <w:rPr>
          <w:b/>
        </w:rPr>
        <w:t>E. 3</w:t>
      </w:r>
    </w:p>
    <w:p>
      <w:r>
        <w:t>Il résulte de ce qui précède que le recours doit être admis, l’ordonnance attaquée annulée et le dossier de la cause renvoyé au Ministère public pour qu’il procède dans le sens des considérants.</w:t>
      </w:r>
    </w:p>
    <w:p>
      <w:r>
        <w:t>- 5 - Dans la mesure où l’éventuelle erreur est largement due aux plaignants, qui n’ont éclairci la situation que dans le cadre du recours, il se justifie de mettre les frais de la procédure de recours, constitués en l’espèce du seul émolument d'arrêt, par 550 fr. (art. 20 al. 1 TFJP [tarif des frais judiciaires pénaux; RSV 312.03.1]), à la charge de la recourante (art. 428 al. 2 let. a CPP). Il n'y a pas lieu d'envisager une indemnisation de H.________ pour les dépenses obligatoires occasionnées par la procédure, l'obligation de supporter les frais et l'allocation d'une indemnité s'excluant réciproquement (TF 6B_300/2012 du 10 juin 2013 consid. 2.4; ATF 137 IV 352 consid. 2.4.2). Par ces motifs, la Chambre des recours pénale prononce : I. Le recours est admis. II. L’ordonnance du 16 mai 2018 est annulée. III. Le dossier de la cause est renvoyé au Ministère public de l’arrondissement du Nord vaudois pour qu’il procède dans le sens des considérants. IV. Les frais d’arrêt, par 550 fr. (cinq cent cinquante francs), sont mis à la charge de H.________. V. L’arrêt est exécutoire. Le président : La greffière :</w:t>
      </w:r>
    </w:p>
    <w:p>
      <w:r>
        <w:t>- 6 - Du Le présent arrêt, dont la rédaction a été approuvée à huis clos, est notifié, par l'envoi d'une copie complète, à : - Me Pierre-Yves Bosshard, avocat (pour H.________), - M. I.________,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