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PE18.004892 vom 18. September 2018</w:t>
      </w:r>
    </w:p>
    <w:p>
      <w:r>
        <w:t>VD Tribunal cantonal, 2018-09-18, FR</w:t>
      </w:r>
    </w:p>
    <w:p>
      <w:r>
        <w:rPr>
          <w:b/>
        </w:rPr>
        <w:t xml:space="preserve">Quelle: </w:t>
      </w:r>
      <w:r>
        <w:t>https://mcp.opencaselaw.ch/entscheid/vd_gerichte_PE18.004892</w:t>
      </w:r>
    </w:p>
    <w:p>
      <w:r>
        <w:t>FR: VD_GERICHTE PE18.004892 du 18 septembre 2018</w:t>
      </w:r>
    </w:p>
    <w:p>
      <w:r>
        <w:t>IT: VD_GERICHTE PE18.004892 del 18 settembre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En l’espèce, le recours a été interjeté en temps utile et dans les formes prescrites auprès de l’autorité compétente, par la partie plaignante qui a qualité pour recourir (art. 382 al. 1 CPP). Il est donc recevable.</w:t>
      </w:r>
    </w:p>
    <w:p>
      <w:r>
        <w:rPr>
          <w:b/>
        </w:rPr>
        <w:t>E. 2</w:t>
      </w:r>
    </w:p>
    <w:p>
      <w:r>
        <w:t>Aux termes de l'art. 310 al. 1 let. a CPP, une ordonnance de non-entrée en matière est rendue immédiatement – c’est-à-dire sans</w:t>
      </w:r>
    </w:p>
    <w:p>
      <w:r>
        <w:t>- 4 - qu’une instruction soit ouverte (art. 309 al. 1 et 4 CPP ; TF 1B_111/2012 du</w:t>
      </w:r>
    </w:p>
    <w:p>
      <w:r>
        <w:rPr>
          <w:b/>
        </w:rPr>
        <w:t>E. 5</w:t>
      </w:r>
    </w:p>
    <w:p>
      <w:r>
        <w:t>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 3. 3.1 Le recourant prétend que Z.________ aurait envoyé un SMS à son ancienne collègue, entre le 2 et le 13 décembre 2017, soit entre le moment où elle lui avait vendu le traitement antimycosique « [...] » et sa rencontre dans le bus avec D.________. Selon lui, Z.________ aurait fait part à son ancienne collègue de ce qu’il avait acheté, ce qui constituerait une violation du secret professionnel.</w:t>
      </w:r>
    </w:p>
    <w:p>
      <w:r>
        <w:t>- 5 - 3.2 La violation du secret professionnel est réprimée par l’art. 321 ch. 1 CP (Code pénal suisse du 21 décembre 1937 ; RS 311.0).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 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 et al., Petit commentaire du Code pénal, Bâle 2017, n. 11 ad art. 321 CP). Le secret doit porter sur un fait qui n’est pas déjà connu, que le maître a la volonté de garder confidentiel et a un intérêt à ce qu’il reste confidentiel (ATF 112 Ib 606 consid. 2b, JdT 1987 IV 150 ; ATF 106 IV 131 consid. 3, JdT 1981 IV 113 ; Corboz, Les infractions en droit suisse, vol. II, 3e éd., Berne 2010, nn. 19-23 ad art. 321 CP). Selon l’art. 321 ch. 2 CP, la révélation du secret ne sera pas punissable si elle a été faite avec le consentement de l’intéressé ou si, sur la proposition du détenteur du secret, l’autorité supérieure ou l’autorité de surveillance l’a autorisée par écrit. Le consentement peut être exprès, tacite ou encore résulter d’actes concluants (Dupuis et al., op. cit., n. 42 ad art. 321 CP et les références citées). 3.3 Le recourant prétend que Z.________ aurait révélé le contenu de son dossier médical à son ancienne collègue, avec qui elle travaillait à la Pharmacie K.________, et lui aurait transmis par SMS le traitement qu’il prenait. Lorsque la police a entendu D.________, elle a eu l’occasion de vérifier, avec son accord, le contenu de son téléphone et a trouvé un échange de messages qui confirmait les déclarations de cette dernière ainsi que celles de Z.________, lesquelles étaient par ailleurs concordantes.</w:t>
      </w:r>
    </w:p>
    <w:p>
      <w:r>
        <w:t>- 6 - Selon D.________, ce serait le plaignant lui-même qui lui aurait parlé de son traitement, dont elle connaissait le nom et ses indications. Pour le Ministère public, aucun élément du dossier n’infirme les dires de Z.________ et aucune opération de l’enquête ne permettrait de le faire. Cette appréciation peut être confirmée et il n’y a pas lieu de procéder à un complément d’instruction, la police ayant fait état de la bonne foi de la prévenue et, vu la base des déclarations de la gérante de la pharmacie, de la propension du recourant à importuner ses employées (P. 4 p. 10). De toute manière, la prévenue et son ancienne collègue auraient été en droit de s’échanger des informations sur le dossier du recourant, client de la pharmacie, puisqu’elles avaient toutes deux travaillé à cet endroit et étaient soumises au même secret professionnel à l’égard des tiers. Aucune infraction pénale n’est donc envisageable. 4. 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15 mars 2018 est confirmée.</w:t>
      </w:r>
    </w:p>
    <w:p>
      <w:r>
        <w:t>- 7 - III. Les frais d'arrêt, par 660 fr. (six cent soixante francs), sont mis à la charge du recourant P.________. IV. L’arrêt est exécutoire. Le président : La greffière : Du Le présent arrêt, dont la rédaction a été approuvée à huis clos, est notifié, par l'envoi d'une copie complète, à : - P.________, - Z.________,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