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PE18.004875 vom 12. Oktober 2023</w:t>
      </w:r>
    </w:p>
    <w:p>
      <w:r>
        <w:t>VD Tribunal cantonal, 2023-10-12, FR</w:t>
      </w:r>
    </w:p>
    <w:p>
      <w:r>
        <w:rPr>
          <w:b/>
        </w:rPr>
        <w:t xml:space="preserve">Quelle: </w:t>
      </w:r>
      <w:r>
        <w:t>https://mcp.opencaselaw.ch/entscheid/vd_gerichte_PE18.004875</w:t>
      </w:r>
    </w:p>
    <w:p>
      <w:r>
        <w:t>FR: VD_GERICHTE PE18.004875 du 12 octobre 2023</w:t>
      </w:r>
    </w:p>
    <w:p>
      <w:r>
        <w:t>IT: VD_GERICHTE PE18.004875 del 12 ottobre 2023</w:t>
      </w:r>
    </w:p>
    <w:p>
      <w:pPr>
        <w:pStyle w:val="Heading2"/>
      </w:pPr>
      <w:r>
        <w:t>Erwägungen</w:t>
      </w:r>
    </w:p>
    <w:p>
      <w:r>
        <w:rPr>
          <w:b/>
        </w:rPr>
        <w:t>E. 6.1</w:t>
      </w:r>
    </w:p>
    <w:p>
      <w:r>
        <w:t>L’appelante invoque une violation de l’art. 10 al. 3 CPP, en reprochant aux premiers juges d’avoir préféré les déclarations de C.V.________ aux siennes. Elle soutient en substance qu’ils se seraient fondés sur aucun élément objectif, mais uniquement sur les témoignages de personnes, dont il serait établi que toutes auraient tenté de l’accabler de faits qu’elle n’aurait pas commis, dans le seul but de la décrédibiliser aux yeux des autorités judiciaires. En outre, elle relève que C.V.________ n’aurait d’ailleurs, quant à lui, pas hésité dans le cadre de la présente procédure à inventer avoir été testé positif au Covid-19, en fournissant la photographie d’un faux autotest à son défenseur de l’époque, de sorte qu’on ne saurait le considérer comme étant crédible.</w:t>
      </w:r>
    </w:p>
    <w:p>
      <w:r>
        <w:rPr>
          <w:b/>
        </w:rPr>
        <w:t>E. 6.2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2e éd., Bâle 2019, n. 19 ad art. 398 CPP et les réf. citées).</w:t>
      </w:r>
    </w:p>
    <w:p>
      <w:r>
        <w:t>- 27 -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[édit.], CR CPP, op. cit., n. 34 ad art. 10 CPP). La présomption d’innocence, garantie par les art. 10 CPP, 32 al. 1 Cst., 6 par. 2 CEDH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précité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w:t>
      </w:r>
    </w:p>
    <w:p>
      <w:r>
        <w:t>- 28 -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précité consid. 2.2.3.3 ; ATF 143 IV 500 consid. 1.1 ; ATF 138 V 74 consid. 7).</w:t>
      </w:r>
    </w:p>
    <w:p>
      <w:r>
        <w:rPr>
          <w:b/>
        </w:rPr>
        <w:t>E. 6.3</w:t>
      </w:r>
    </w:p>
    <w:p>
      <w:r>
        <w:t>Contrairement à ce que prétend l’appelante et comme on le verra ci-après (cf. infra consid. 7.3), sa condamnation ne repose pas principalement sur les mises en cause (à géométrie variable) de son comparse, C.V.________, et encore moins sur les témoignages « malfaisants » de F.________, K.________ et L.________. C’est bien le comportement de l’appelante, étayé par pièces, qui permet de se convaincre du fait qu’elle a intentionnellement trompé la Caisse cantonale de compensation AVS (la plaignante), soit en prétendant faussement avoir cohabité avec C.V.________ ; soit en se disant tantôt divorcée, tantôt mariée. Les éléments de conviction ressortent principalement des déclarations de l’appelante elle-même ou des pièces du dossier. Il n’est donc pas question ici d’avoir préféré les déclarations de C.V.________, de sorte que le grief est infondé.</w:t>
      </w:r>
    </w:p>
    <w:p>
      <w:r>
        <w:rPr>
          <w:b/>
        </w:rPr>
        <w:t>E. 7.1</w:t>
      </w:r>
    </w:p>
    <w:p>
      <w:r>
        <w:t>L’appelante conteste ensuite s’être rendue coupable d’escroquerie, de même que la circonstance aggravante du métier. Elle soutient en substance que l’élément « astucieux » de l’escroquerie ferait défaut. Elle n’aurait pas faussement prétendu avoir toujours vécu en ménage commun avec C.V.________, même si elle concède, durant la période lyonnaise, que ce dernier louait un autre appartement. Elle relève ainsi que, dans la mesure où les coprévenus continuaient à faire ménage commun et qu’ils n’auraient pas finalisé leur procédure de divorce entamée en 2013, elle se considérait comme mariée, conformément à l’inscription figurant sur les actes d’état civil français et suisse. Elle</w:t>
      </w:r>
    </w:p>
    <w:p>
      <w:r>
        <w:t>- 29 - n’aurait donc pas menti lorsqu’elle a affirmé le 20 mai 2016 à la Caisse cantonale vaudoise de compensation AVS, par une « attestation sur l’honneur », qu’elle était toujours mariée à C.V.________, de même qu’à l’agence d’assurances sociales de Lausanne, par téléphone, le 30 janvier 2017, et en personne, le 22 février 2017.</w:t>
      </w:r>
    </w:p>
    <w:p>
      <w:r>
        <w:rPr>
          <w:b/>
        </w:rPr>
        <w:t>E. 7.2.1</w:t>
      </w:r>
    </w:p>
    <w:p>
      <w:r>
        <w:t>Aux termes de l’art. 146 al. 1 CP,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L’art. 146 al. 2 CP dispose que, si l’auteur fait métier de l’escroquerie, il est puni d’une peine privative de liberté de six mois à dix ans.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(ATF 147 IV 73 consid. 3.1 ; ATF 140 IV 11 consid. 2.3.2).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précité consid. 3.2 ; ATF 142 IV 153 consid. 2.2.2 ; ATF 135 IV 76 consid. 5.2). L’astuce n’est pas réalisée si la dupe pouvait se protéger avec un minimum d’attention ou éviter l’erreur avec le minimum de prudence</w:t>
      </w:r>
    </w:p>
    <w:p>
      <w:r>
        <w:t>- 30 -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précité consid. 3.2 ; ATF 143 IV 302 consid. 1.4.1 ; ATF 142 IV 153 précité consid. 2.2.2). Selon le Tribunal fédéral, la définition générale de l’astuce est également applicable à l’escroquerie en matière d’assurances et d’aide sociales. L’autorité agit de manière légère lorsqu’elle n’examine pas les pièces produites ou néglige de demander à celui qui requiert des prestations les documents nécessaires afin d’établir ses revenus et sa fortune, comme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6B_1221/2020 du 2 juin 2021 consid. 1.1.2 et les réf. citées).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7.2.2</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w:t>
      </w:r>
    </w:p>
    <w:p>
      <w:r>
        <w:t>- 31 - même accessoire. Il faut que l’auteur aspire à obtenir des revenus relativement réguliers représentant un apport notable au financement de son genre de vie et qu’il se soit ainsi, d’une certaine façon, installé dans la délinquance (ATF 129 IV 253 consid. 2.1). La qualification de métier n’est admise que si l’auteur a déjà agi à plusieurs reprises (ATF 119 IV 129 consid. 3a, JdT 1994 I 796 ; ATF 116 IV 319 consid. 3b, JdT 1992 IV 79 ; TF 6B_1141/2017 du 7 juin 2018 consid. 3.1).</w:t>
      </w:r>
    </w:p>
    <w:p>
      <w:r>
        <w:rPr>
          <w:b/>
        </w:rPr>
        <w:t>E. 7.2.3</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JdT 2004 I 486, SJ 2005 I 47 ; TF 6B_1452/2020 du 18 mars 2021 consid. 1.1).</w:t>
      </w:r>
    </w:p>
    <w:p>
      <w:r>
        <w:rPr>
          <w:b/>
        </w:rPr>
        <w:t>E. 7.3.1.1</w:t>
      </w:r>
    </w:p>
    <w:p>
      <w:r>
        <w:t>En l’espèce, c’est en vain que l’appelante a affirmé qu’elle a toujours fait ménage commun avec C.V.________, ce dernier l’ayant d’ailleurs contesté (PV 6 p. 3-4 et p. 11, p. 20 ; PV 7 l. 42-44 ; débats de première instance p. 28). En effet, C.V.________ a fini par admettre qu’il</w:t>
      </w:r>
    </w:p>
    <w:p>
      <w:r>
        <w:t>- 32 - avait pris un appartement séparé durant la période lyonnaise et que c’était B.________ et F.________ qui cohabitaient à [...] (F) et à Lyon, tout en précisant se rendre « tous les jours » dans leur logement pour s’occuper des enfants. D’ailleurs, l’adresse séparée est attestée par de multiples courriers (PV aud. 6 p. 10) et, aux débats de première instance, l’appelante elle-même a finalement admis que C.V.________ avait pris un appartement séparé durant la période lyonnaise, soit du mois de juin 2013 au mois de juillet 2015, contrairement à ce qu’elle avait allégué durant la procédure préliminaire. Elle a également concédé, à l’enquête, que C.V.________ était parti au Maroc durant quatre mois en 2015. Les attestations sur l’honneur fournies à la Caisse cantonale de compensation AVS qui attestent d’un domicile commun sont par conséquent des mensonges, dès lors qu’il est admis par les parties que, dans les faits, elles ne vivaient plus sous le même toit. A cela s’ajoute que l’affirmation fallacieuse n’était pas décelable pour la dupe, celle-ci concernant un domicile étranger et reposant sur un certificat de la mairie de Lyon dont la dupe n’avait pas à douter.</w:t>
      </w:r>
    </w:p>
    <w:p>
      <w:r>
        <w:rPr>
          <w:b/>
        </w:rPr>
        <w:t>E. 7.3.1.2</w:t>
      </w:r>
    </w:p>
    <w:p>
      <w:r>
        <w:t>C’est également en vain que l’appelante affirme qu’elle n’était pas divorcée dès le 29 mai 2013. En effet, dans deux courriers à la Caisse cantonale de compensation AVS, C.V.________ a fait allusion le 7 février 2013 à une fraîche séparation d’avec B.________ (P. 5/47), avant de la qualifier à deux reprises « d’ex-femme » le 23 août 2013 (P. 5/50). Il peut donc être retenu que ce que pouvait comprendre C.V.________ de sa situation maritale le 23 août 2013, l’appelante le pouvait également. A cela s’ajoute qu’à l’enquête, C.V.________ a précisé qu’ils savaient parfaitement qu’ils étaient divorcés depuis 2013 et qu’ils avaient menti sur leur état civil pour maintenir l’encaissement des rentes (cf. jugement p. 49 qui se réfère au PV aud. 7 l. 38-41). Pour expliquer que, selon l’état civil français, ils étaient toujours mariés malgré un divorce prononcé, C.V.________ et l’appelante ont curieusement fourni des réponses différentes, à savoir qu’ils n’auraient pas envoyé au tribunal de deuxième instance « une demande</w:t>
      </w:r>
    </w:p>
    <w:p>
      <w:r>
        <w:t>- 33 - d’un certificat de non-pourvoi » (version de C.V.________) ou qu’ils n’auraient pas mené la procédure de divorce à terme, soit en se rétractant dans les formes (version de B.________), ce qui suppose qu’ils se seraient désistés. En réalité, le divorce est bien entré en force et si l’état civil français mentionnait encore que le couple était toujours marié c’est uniquement parce que ni C.V.________ ni l’appelante n’ont informé l’état civil français de leur divorce. La thèse du désistement procédural servie par l’appelante est un mensonge et ne saurait donc être retenue. Il faut ainsi tenir pour constant que, dans l’esprit des deux parties, le divorce était ainsi consommé. Le fait que les ex-époux soient allés jusqu’à passer, le 24 novembre 2015, un contrat de mariage visant à adopter le régime de la séparation de biens devant un notaire n’y change rien. On doit au contraire y voir un stratagème de leur part, destiné à renforcer auprès des tiers l’existence d’un prétendu mariage. Au reste, aux débats de première instance, même l’appelante s’est dite surprise d’apprendre en 2014 qu’elle était toujours mariée, ce qui est inconciliable avec ce qu’elle a déclaré à l’enquête, à savoir qu’à la fin de l’année 2014, elle considérait qu’elle était toujours mariée avec C.V.________ et même en 2019 (PV aud. 8), lors de son audition récapitulative, documents d’état civil français du 4 novembre 2019 à l’appui, alors que le 8 mars 2017, elle déclarait à l’appui d’une demande d’allocations familiales être divorcée depuis le mois de février 2017. A cet égard, il est relevé que, lors de l’audience d’appel, l’appelante a encore une fois modifié sa version des faits en expliquant cette fois-ci qu’autour de 2016 elle avait su qu’elle était divorcée. Elle a également déclaré ce qui suit : « [v]ous me faites remarquer qu’en 2017 j’ai dit que j’étais toujours mariée ; pourquoi ? Parce que cette période était très difficile pour moi et c’était le flou total pour moi. Ce n’est pas possible que j’ai pu dire en 2019 que j’étais toujours mariée. Il est possible que je parlais de la période antérieure ». Ces nouvelles déclarations démontrent encore une fois que l’appelante n’est pas crédible et qu’elle modifie son état civil au gré des besoins se disant tour à tour mariée en 2019 (PV aud. 8) et divorcée en 2017 auprès de la plaignante. La Cour de céans rejoint donc la conviction des premiers juges selon laquelle « les deux prévenus</w:t>
      </w:r>
    </w:p>
    <w:p>
      <w:r>
        <w:t>- 34 - pensaient bien être divorcés et ont remarqué que les actes d’état civil ne correspondaient pas à cet état » (cf. jugement p. 50) et qu’ils ont profité de l’aubaine. L’affirmation mensongère d’un statut marital lié à un domicile commun fictif a entrainé le versement de rentes indues, fondant le dommage de la plaignante. La tromperie était astucieuse, dès lors qu’elle reposait à la fois sur des déclarations difficilement vérifiables, d’une part, et s’appuyait sur des certificats (attestation française de domicile et attestation française d’état civil), d’autre part. De plus, l’appelante ne peut contester avoir été bénéficiaire économique des rentes versées. Son rôle était actif. C’est en effet elle qui a produit une attestation sur l’honneur relative à un domicile commun des époux ; c’est elle qui a attesté que sa fille [...] était intégralement à la charge de C.V.________, ce qui renforçait l’union conjugale ; c’est elle qui a sollicité un rendez-vous en urgence auprès de la plaignante lorsqu’elle a appris que la Caisse cantonale de compensation AVS allait suspendre la rente d’enfant recueilli à cause du divorce dont elle venait d’être informée et c’est elle qui a produit une copie de l’acte de mariage français attestant du contraire (cf. jugement p. 49). Sa qualité de coauteur ne fait donc aucun doute, ce d’autant qu’elle a reconnu, lors de l’audience d’appel, avoir eu un rôle actif à ce titre, tel qu’indiqué dans le jugement. Enfin, on note que l’appelante a fait en sorte que la carte Travelcard utilisée par C.V.________ à l’étranger soit régulièrement alimentée (cf. supra cas 2.1 d), ce qui démontre encore une fois son comportement actif et sa qualité de co-auteure de l’infraction. Au vu de ce qui précède, les conditions de l’infraction d’escroquerie sont réalisées.</w:t>
      </w:r>
    </w:p>
    <w:p>
      <w:r>
        <w:rPr>
          <w:b/>
        </w:rPr>
        <w:t>E. 7.3.2</w:t>
      </w:r>
    </w:p>
    <w:p>
      <w:r>
        <w:t>Dans la mesure où l’appelante a tiré l’essentiel de ses revenus des rentes indues, que la période délictueuse est longue et les tromperies multiples, elle était durablement installée dans la délinquance. La circonstance aggravante du métier est donc remplie.</w:t>
      </w:r>
    </w:p>
    <w:p>
      <w:r>
        <w:rPr>
          <w:b/>
        </w:rPr>
        <w:t>E. 8</w:t>
      </w:r>
    </w:p>
    <w:p>
      <w:r>
        <w:t>- 35 -</w:t>
      </w:r>
    </w:p>
    <w:p>
      <w:r>
        <w:rPr>
          <w:b/>
        </w:rPr>
        <w:t>E. 8.1</w:t>
      </w:r>
    </w:p>
    <w:p>
      <w:r>
        <w:t>L’appelante conteste également sa condamnation pour les faits décrits au cas 3 de l’acte d’accusation (cf. supra cas 2.2), savoir pour induction de la justice en erreur et escroquerie par métier, et soutient que ces infractions ne sauraient être retenues à son encontre. Elle invoque en outre une violation de l’art. 10 al. 3 CPP. Elle relève que C.V.________ aurait clairement exprimé le fait qu’il était l’auteur du soi-disant vol de téléphone, lequel aurait été fait de sa propre initiative. Pour sa part, l’appelante aurait uniquement confirmé les déclarations du susnommé, expliquant ne pas avoir su tout de suite que le vol avait été commis par celui-ci, mais uniquement au moment de son audition à la Blécherette. Elle relève que les autorités seraient tombées dans le « piège » tendu par F.________ – dont la crédibilité serait proche de « zéro » – dès lors qu’il avait pour unique but de la nuire, en la faisant faussement passer pour l’instigatrice de l’acte commis par C.V.________.</w:t>
      </w:r>
    </w:p>
    <w:p>
      <w:r>
        <w:rPr>
          <w:b/>
        </w:rPr>
        <w:t>E. 8.2</w:t>
      </w:r>
    </w:p>
    <w:p>
      <w:r>
        <w:t>Selon l’art. 304 ch. 1 al. 1 CP, se rend coupable d’induction de la justice en erreur quiconque dénonce à l’autorité une infraction qu’il savait n’avoir pas été commise. L’auteur sera puni d’une peine privative de liberté de trois ans au plus ou d’une peine pécuniaire (art. 304 ch. 1 al. 3 CP).</w:t>
      </w:r>
    </w:p>
    <w:p>
      <w:r>
        <w:rPr>
          <w:b/>
        </w:rPr>
        <w:t>E. 8.3</w:t>
      </w:r>
    </w:p>
    <w:p>
      <w:r>
        <w:t>Il est relevé que la condamnation de l’appelante repose à la fois sur les déclarations de C.V.________, qui n’a aucune raison de mentir dès lors qu’il s’incrimine lui-même, et sur la logique, dans la mesure où le crime a bien profité à l’appelante elle-même. En effet, C.V.________ a admis par trois fois, devant la police (PV aud. 6), puis devant le procureur (PV 7 l. 66 ss) et enfin aux débats de première instance, avoir cassé la vitre de la voiture et avoir fait semblant de voler le téléphone, ce à la demande de l’appelante. Quant à B.________, elle n’a fait que de nier les faits, en sous-entendant que son coprévenu aurait été manipulé par la police, avait donné plusieurs versions et était un menteur (PV aud. 8 l. 160 ss). Ses dénégations n’offrent que peu de consistance, ce d’autant que, lors de l’audience d’appel, elle a indiqué que c’était finalement F.________ qui avait commandité l’escroquerie à l’assurance, après que C.V.________ l’a lui-même dénoncé avant de se raviser et de déclarer que c’était sa</w:t>
      </w:r>
    </w:p>
    <w:p>
      <w:r>
        <w:t>- 36 - mère qui était derrière toutes ces escroqueries. Cette dernière version des faits ne saurait cependant être retenue à ce stade de la procédure, compte tenu des autres déclarations crédibles faites en cours d’instance et du fait que C.V.________ a pu chercher à minimiser l’implication de son ex-épouse, en raison de la peine encourue par celle-ci. En définitive, comme l’a retenu le tribunal, en déposant plainte pour un faux cambriolage, la prévenue a déclenché l’ouverture d’une instruction pénale alors qu’elle savait qu’aucune infraction n’avait été commise, puisqu’il est licite de porter atteinte à ses propres biens. Toutes les conditions de l’infraction découlant de l’art. 304 ch. 1 CP sont réalisées. Il y a en outre escroquerie à l’assurance, un édifice de mensonges tout à fait astucieux ayant été échafaudé par les deux prévenus, qui ont collaboré pleinement à la manœuvre. Ils sont coauteurs d’escroquerie, laquelle s’inscrit pleinement dans la foulée des autres actes reprochés et implique le métier. Le grief invoqué par l’appelante doit donc être rejeté.</w:t>
      </w:r>
    </w:p>
    <w:p>
      <w:r>
        <w:rPr>
          <w:b/>
        </w:rPr>
        <w:t>E. 9.1</w:t>
      </w:r>
    </w:p>
    <w:p>
      <w:r>
        <w:t>L’appel joint du Ministère public tend à la réforme du jugement, en ce sens que seule l’exécution d’une partie de la peine privative de liberté fixée par le tribunal à 18 mois portant sur 12 mois est suspendue.</w:t>
      </w:r>
    </w:p>
    <w:p>
      <w:r>
        <w:rPr>
          <w:b/>
        </w:rPr>
        <w:t>E. 9.2.1</w:t>
      </w:r>
    </w:p>
    <w:p>
      <w:r>
        <w:t>Selon l’art. 43 CP (Code pénal suisse du 21 décembre 1937 ; RS 311.0),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w:t>
      </w:r>
    </w:p>
    <w:p>
      <w:r>
        <w:t>- 37 -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6B_1192/2019 du 28 février 2020 consid. 2.1 ; TF 6B_529/2019 du 5 juin 2019 consid. 3.1 ; TF 6B_1227/2015 du 29 juillet 2016 consid. 1.2.1).</w:t>
      </w:r>
    </w:p>
    <w:p>
      <w:r>
        <w:rPr>
          <w:b/>
        </w:rPr>
        <w:t>E. 9.2.2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- 38 -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w:t>
      </w:r>
    </w:p>
    <w:p>
      <w:r>
        <w:rPr>
          <w:b/>
        </w:rPr>
        <w:t>E. 9.2.3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précité consid. 1.1.1 ; ATF 142 IV 265 consid. 2.3.2 ; ATF 138 IV 120 consid. 5.2). Que les dispositions pénales applicables prévoient abstraitement des peines de même genre ne suffit pas (ATF 144 IV 313 précité consid. 1.1.1 ; ATF 144 IV 217 consid. 2.2 ; ATF 138 IV 120 précité consid. 5.2). Si les sanctions envisagées</w:t>
      </w:r>
    </w:p>
    <w:p>
      <w:r>
        <w:t>- 39 - concrètement ne sont pas du même genre, elles doivent être prononcées cumulativement (ATF 144 IV 313 précité consid. 1.1 ; ATF 142 IV 265 précité consid. 2.3.2 ; ATF 138 IV 120 précité consid. 5.2 ; ATF 137 IV 57 consid. 4.3.1). La peine privative de liberté et la peine pécuniaire ne sont pas des sanctions du même genre (ATF 144 IV 313 précité consid. 1.1 ; ATF 144 IV 217 précité consid. 2.2).</w:t>
      </w:r>
    </w:p>
    <w:p>
      <w:r>
        <w:rPr>
          <w:b/>
        </w:rPr>
        <w:t>E. 9.3</w:t>
      </w:r>
    </w:p>
    <w:p>
      <w:r>
        <w:t>En l’espèce, la Cour de céans constate que la peine a été fixée conformément à la culpabilité de l’appelante. Il peut être renvoyé à cet égard à la motivation du jugement attaqué (cf. jugement, pp. 57 et 58 ; art. 82 al. 4 CPP), qui est claire et convaincante. Les motivations de l’appelante étaient d’ordre purement financier et si elle a finalement dénoncé une partie des faits, c’était uniquement pour tenter de se couvrir elle-même. A cela s’ajoute que, encore au stade de l’appel, B.________ n’a eu de cesse de prétendre que tant son coprévenu, que d’autres personnes entendues dans le cadre de la procédure, auraient tenté de la faire passer pour une personne « manipulatrice » et « opportuniste ». Sa prise de conscience apparaît donc très faible et il y a concours d’infractions. Sa situation personnelle, à sa décharge, était difficile, avec la nécessité de soutenir deux enfants dont les pères étaient la plupart du temps absents, et les faits sont anciens, ce dont on doit tenir compte nonobstant le fait que le retard pris à juger lui est pour partie également imputable. Au vu de ces éléments et pour des motifs de prévention spéciale, seule une peine privative de liberté entre en ligne de compte pour réprimer les infractions commises par l’appelante. La peine privative de liberté de 18 mois au total sera dès lors confirmée. En effet, sur la base de ce qui précède, l’infraction d’escroquerie par métier, qui constitue l’infraction principale, doit être réprimée par une peine privative de liberté de 15 mois. Conformément au principe d’aggravation découlant du concours d’infractions, cette peine sera majorée de 3 mois pour induction de la justice en erreur. Comme l’a relevé le Ministère public, le pronostic est mitigé, compte tenu de l’énergie avec laquelle l’appelante persiste à rejeter toute</w:t>
      </w:r>
    </w:p>
    <w:p>
      <w:r>
        <w:t>- 40 - faute sur autrui. Il se justifie ainsi de suspendre l’exécution d’une partie de la peine privative de liberté portant sur 12 mois et de confirmer le délai d’épreuve fixé à 4 ans. Il sera par contre renoncé à révoquer le sursis accordé par le Ministère public du Bas-Valais le 22 mai 2017, qui condamnait B.________ pour une infraction sans rapport avec des infractions contre le patrimoine.</w:t>
      </w:r>
    </w:p>
    <w:p>
      <w:r>
        <w:rPr>
          <w:b/>
        </w:rPr>
        <w:t>E. 10</w:t>
      </w:r>
    </w:p>
    <w:p>
      <w:r>
        <w:t>En définitive, l’appel déposé par B.________ doit être rejeté et l’appel joint déposé par le Ministère public admis. Le jugement sera donc réformé dans le sens des considérants qui précèdent. Vu le sort de la cause, les frais de la procédure d’appel, constitués de l’émolument d’audience, par 700 fr., et de jugement, par 3’300 fr. (art. 21 al. 1 et 2 TFIP), soit 4’000 fr. au total, seront mis à la charge de l’appelante qui succombe (art. 428 al. 1 CPP). La liste des opérations produite par Me Christophe Borel, défenseur d’office de B.________, ne prête pas le flanc à la critique, sous réserve du temps d’audience qu’il convient d’ajouter, soit 3 heures. Il s’ensuit qu’au tarif horaire de 180 fr. pour l’avocat breveté (art. 2 al. 1 let. a RAJ [règlement du 7 décembre 2010 sur l’assistance judiciaire en matière civile ; BLV 211.02.3], applicable par renvoi de l’art. 26b TFIP [tarif des frais de procédure et indemnités en matière pénale du 28 septembre 2010 ; BLV 312.03.1]), l’indemnité allouée à Me Christophe Borel doit être fixée, pour les opérations effectuées jusqu’au 31 décembre 2023, à 1'258 fr. 95, soit 1’146 fr. (6.36h x 180 fr.) à titre d’honoraires, 22 fr. 95 (2 % [art. 3bis al. 1 RAJ]) de débours forfaitaires et 90 fr. (7.7 %) de TVA sur le tout (art. 2 al. 3 RAJ ; art. 25 al. 1 LTVA [Loi fédérale du 12 juin 2009 régissant la taxe sur la valeur ajoutée ; RS 641.20]), et, pour les opérations effectuées depuis le 1er janvier 2024, à 1’985 fr. 40, soit 1’683 fr. (9.35h x 180 fr.) à titre d’honoraires, 33 fr. 65 (2 % x 120 fr.) de débours forfaitaires, 120 fr. de vacation et 148 fr. 75 (8.1 %) de TVA sur le tout, ce qui porte l’indemnité totale à 3’244 fr. 35. Cette indemnité sera mise à la charge de l’appelante.</w:t>
      </w:r>
    </w:p>
    <w:p>
      <w:r>
        <w:t>- 41 - Me Rachel Rytz, défenseur d’office de C.V.________, a produit une liste des opérations faisant état d’un temps total consacré à la procédure d’appel de 8.78 heures d’activité d’avocat. Celle-ci sera toutefois réduite de 0.75 heures en lien avec l’opération « recherches juridique sur le lien entre appel joint et abus de droit » (29.01.2024), dans la mesure où elle n’était pas justifiée, de même que l’heure comptabilisée en sus pour la « prise de connaissance et l’étude du jugement et les opérations et courriers y relatifs », C.V.________ ayant finalement retiré son appel. 33 minutes seront toutefois ajoutées, afin de prendre en compte le temps d’audience. Il s’ensuit qu’au tarif horaire de 180 fr. pour l’avocat breveté (art. 2 al. 1 let. a RAJ, applicable par renvoi de l’art. 26b TFIP), l’indemnité allouée à Me Rachel Rytz doit être fixée, pour les opérations effectuées jusqu’au 31 décembre 2023, à 1’233 fr. 30, soit 1’005 fr. (5.58h x 180 fr.) à titre d’honoraires, 20 fr. 10 (2 % [art. 3bis al. 1 RAJ]) de débours forfaitaires, 120 fr. de vacation et 88 fr. 20 (7.7 %) de TVA sur le tout (art. 2 al. 3 RAJ ; art. 25 al. 1 LTVA), et, pour les opérations effectuées depuis le 1er janvier 2024, à 725 fr. 10, soit 540 fr. (3h x 180 fr.) à titre d’honoraires, 10 fr. 80 (2 % x 120 fr.) de débours forfaitaires, 120 fr. de vacation et 54 fr. 30 (8.1 %) de TVA sur le tout, ce qui porte l’indemnité totale à 1’958 fr. 40. Cette indemnité sera mise à la charge de C.V.________. B.________ et C.V.________ seront tenus de rembourser à l’Etat l’indemnité due à leur défenseur d’office dès que leur situation financière le permettra.</w:t>
      </w:r>
    </w:p>
    <w:p>
      <w:r>
        <w:t>- 42 -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