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PE18.004675 vom 30. Oktober 2018</w:t>
      </w:r>
    </w:p>
    <w:p>
      <w:r>
        <w:t>VD Tribunal cantonal, 2018-10-30, FR</w:t>
      </w:r>
    </w:p>
    <w:p>
      <w:r>
        <w:rPr>
          <w:b/>
        </w:rPr>
        <w:t xml:space="preserve">Quelle: </w:t>
      </w:r>
      <w:r>
        <w:t>https://mcp.opencaselaw.ch/entscheid/vd_gerichte_PE18.004675</w:t>
      </w:r>
    </w:p>
    <w:p>
      <w:r>
        <w:t>FR: VD_GERICHTE PE18.004675 du 30 octobre 2018</w:t>
      </w:r>
    </w:p>
    <w:p>
      <w:r>
        <w:t>IT: VD_GERICHTE PE18.004675 del 30 ottobre 2018</w:t>
      </w:r>
    </w:p>
    <w:p>
      <w:pPr>
        <w:pStyle w:val="Heading2"/>
      </w:pPr>
      <w:r>
        <w:t>Erwägungen</w:t>
      </w:r>
    </w:p>
    <w:p>
      <w:r>
        <w:rPr>
          <w:b/>
        </w:rPr>
        <w:t>E. 1</w:t>
      </w:r>
    </w:p>
    <w:p>
      <w:r>
        <w:t>Né le [...] à Lausanne, F.________ est originaire de Mendrisio au Tessin. Il a un frère aîné, est célibataire et n’a pas d’enfant. Mécanicien électronicien informaticien de formation, le prévenu a connu ces dernières années de nombreuses périodes de chômage, pour finalement émarger au revenu minimum de réinsertion (RMR), respectivement au revenu d’insertion (RI), du mois de juin 2004 au mois d’avril 2010, et à nouveau du 1er août 2011 au 31 mai 2014. En début d’année 2010, il a obtenu la patente de cafetier-restaurateur et a travaillé dans le bar-billard de ses parents pendant un an environ. Depuis le 1er juin 2014, le prévenu est employé à plein temps d’une entreprise de sécurité, [...] Sàrl, et déclare gagner un salaire net de 5'000 fr., versé douze fois l’an. Il est propriétaire d’un appartement de 2,5 pièces à la [...] à [...], acquis en octobre 1998 et dans lequel il vit toujours actuellement. Pour son logement, il paie en moyenne 1'300 fr. par mois à titre d’intérêts hypothécaires, d’amortissement de la dette et de charges courantes. Sa prime d’assurance maladie s’élève à 550 fr. par mois. F.________ estime ses impôts à 4'000 fr. par année. A la suite des faits qui lui sont imputés dans la présente procédure, il rembourse mensuellement 400 fr. au Service social de Lausanne. A part ces charges, il n’a pas d’autres crédits, ni de poursuites ou actes de défaut de biens. L’extrait du casier judiciaire suisse de F.________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- 9 -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conteste sa condamnation pour escroquerie. Il soutient qu’un prêt doit être considéré comme une dette et non comme un revenu. Il relève que le formulaire du RI ne mentionne pas les prêts de tiers sous la rubrique « revenus ». Il fait valoir une erreur sur l’illicéité au sens de l’art. 21 CP.</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3.1.2</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w:t>
      </w:r>
    </w:p>
    <w:p>
      <w:r>
        <w:t>- 10 -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sollicite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consid. 4.1.2 et les arrêts cités).</w:t>
      </w:r>
    </w:p>
    <w:p>
      <w:r>
        <w:rPr>
          <w:b/>
        </w:rPr>
        <w:t>E. 3.1.3</w:t>
      </w:r>
    </w:p>
    <w:p>
      <w:r>
        <w:t>Aux termes de l'art. 21 CP (Code pénal du 21 décembre 1937; RS 311.0), quiconque ne sait ni ne peut savoir au moment d'agir que son comportement est illicite n'agit pas de manière coupable. Le juge atténue la peine si l'erreur était évitable.</w:t>
      </w:r>
    </w:p>
    <w:p>
      <w:r>
        <w:t>- 11 - Pour qu'il y ait erreur sur l'illicéité, il faut que l'auteur ne sache ni ne puisse savoir que son comportement est illicite. L'auteur doit agir alors qu'il se croyait en droit de le faire (cf. ATF 129 IV 238 consid. 3.1). Il pense, à tort, que l'acte concret qu'il commet est conforme au droit. Déterminer ce que l'auteur d'une infraction a su, cru ou voulu et, en particulier, l'existence d'une erreur relève de l'établissement des faits (cf. ATF 135 IV 152 consid. 2.3.2; TF 6B_139/2010 du 24 septembre 2010 consid. 4.1, JdT 2010 I 576).</w:t>
      </w:r>
    </w:p>
    <w:p>
      <w:r>
        <w:rPr>
          <w:b/>
        </w:rPr>
        <w:t>E. 3.2</w:t>
      </w:r>
    </w:p>
    <w:p>
      <w:r>
        <w:t>En l’espèce, il ressort tout d’abord de l’arrêt rendu le 31 janvier 2017 par la CDAP qu’un prêt constitue une ressource soumise à déduction et qu’il doit par conséquent impérativement être annoncé aux Services sociaux (cf. consid. C1b ci-dessus). Il est dès lors incontestable que l’appelant n’a pas annoncé tous ses revenus au Service social. Reste à déterminer s’il pouvait de bonne foi penser qu’il n’avait pas à renseigner l’autorité. En l’occurrence, F.________ savait manifestement que s’il avait annoncé les « prêts » reçus de ses proches, son droit au RI en aurait été réduit, puisqu’il a déclaré ce qui suit dans son audition du 14 juin 2018 : « Il est exact que j’ai signé chaque mois la déclaration de revenus et que je savais devoir annoncer tous mes revenus au CSR. Je répète que je ne considérais pas ces prêts comme des revenus puisque ces prêts étaient remboursables. Logiquement, je croyais que s’ils étaient annoncés, je devrais les rembourser et aux tiers qui me les avaient prêtés et subir la déduction du RI. Dès lors, je ne trouvais pas ça logique et j’ai considéré que ce n’était pas un élément que le CSR prenait en compte » (PV aud. 1 p. 2 l. 52 ss). On observe par ailleurs que l’appelant a pris soin d’ouvrir un deuxième compte postal sur lequel les « prêts » étaient déposés, juste après l’obtention du RI. L’appelant tente d’expliquer que ce deuxième compte était nécessaire pour « équilibrer ses paiements ». L’explication est fantaisiste. La raison essentielle était bien de masquer cette source de revenus au CSR pour ne pas avoir à subir une réduction du RI comme il l’a lui-même expliqué.</w:t>
      </w:r>
    </w:p>
    <w:p>
      <w:r>
        <w:t>- 12 - Il s’ensuit que l’appelant n’a, à l’évidence, pas agi de bonne foi. Il savait que les montants consentis par le CSR diminueraient s’il faisait état des prêts consentis par des tiers. Il a ainsi intentionnellement violé son obligation de renseigner et a fait le nécessaire pour masquer cette source de revenu en ouvrant un deuxième compte postal qui n’a été découvert que lors de l’enquête menée par le CSR (P. 4 et P. 5). Des investigations d’une telle ampleur excèdent ce qui est exigé de l’autorité lors du traitement des nombreuses demandes auxquelles le CSR doit faire face. En effet, cet organisme ne disposait d’aucun indice qui lui aurait permis de penser que l’appelant disposait de ce second compte postal. Il n’avait pas à procéder spontanément à des vérifications supplémentaires à ce sujet auprès d’autres établissements. Vu ce qui précède, il faut retenir que l’appelant a sciemment induit en erreur le CSR concernant sa situation financière en occultant des ressources. La dissimulation du compte postal litigieux constitue une astuce qualifiée, l’aspect subjectif de l’infraction d’escroquerie étant réalisé en ce qui concerne cet acte. La conscience de l’illicéité exclut par définition l’erreur de droit alléguée par l’appelant. Pour le surplus, l’appelant ne prétend pas qu’il manquerait d’autres éléments constitutifs de l’escroquerie. Vu ce qui précède, la condamnation de F.________ pour escroquerie ne peut qu’être confirmée.</w:t>
      </w:r>
    </w:p>
    <w:p>
      <w:r>
        <w:rPr>
          <w:b/>
        </w:rPr>
        <w:t>E. 4</w:t>
      </w:r>
    </w:p>
    <w:p>
      <w:r>
        <w:t>CPP).</w:t>
      </w:r>
    </w:p>
    <w:p>
      <w:r>
        <w:rPr>
          <w:b/>
        </w:rPr>
        <w:t>E. 5</w:t>
      </w:r>
    </w:p>
    <w:p>
      <w:r>
        <w:t>F.________ ne peut pas non plus prétendre à libération des frais de procédure, mis à sa charge par 1’450 fr., ou à l’allocation d’une indemnité à titre de l’art. 429 CPP puisqu'il est condamné (art. 426 al. 1 CPP).</w:t>
      </w:r>
    </w:p>
    <w:p>
      <w:r>
        <w:t>- 13 -</w:t>
      </w:r>
    </w:p>
    <w:p>
      <w:r>
        <w:rPr>
          <w:b/>
        </w:rPr>
        <w:t>E. 6</w:t>
      </w:r>
    </w:p>
    <w:p>
      <w:r>
        <w:t>Au vu de ce qui précède, mal fondé, l’appel de F.________ doit être rejeté et le jugement attaqué confirmé. Vu l’issue de la cause, les frais d’appel, constitués du seul émolument de jugement, par 1’280 fr. (art. 21 al. 1 TFIP [Tarif des frais de procédure et indemnités en matière pénale du 28 septembre 2010; RSV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