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PE18.004672 vom 23. Juli 2018</w:t>
      </w:r>
    </w:p>
    <w:p>
      <w:r>
        <w:t>VD Tribunal cantonal, 2018-07-23, FR</w:t>
      </w:r>
    </w:p>
    <w:p>
      <w:r>
        <w:rPr>
          <w:b/>
        </w:rPr>
        <w:t xml:space="preserve">Quelle: </w:t>
      </w:r>
      <w:r>
        <w:t>https://mcp.opencaselaw.ch/entscheid/vd_gerichte_PE18.004672</w:t>
      </w:r>
    </w:p>
    <w:p>
      <w:r>
        <w:t>FR: VD_GERICHTE PE18.004672 du 23 juillet 2018</w:t>
      </w:r>
    </w:p>
    <w:p>
      <w:r>
        <w:t>IT: VD_GERICHTE PE18.004672 del 23 luglio 2018</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Interjeté dans le délai légal auprès de l’autorité compétente par la partie plaignante, qui a la qualité pour recourir (cf. art. 382 al. 1 CPP), le recours est recevable.</w:t>
      </w:r>
    </w:p>
    <w:p>
      <w:r>
        <w:t>- 4 -</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et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La recourante soutient en substance que le courrier qui lui a été adressé le 29 novembre 2017 et le commandement de payer qui lui a été notifié le 6 décembre suivant constitueraient une tentative de contrainte. La poursuite introduite à son encontre serait totalement infondée dans la mesure où elle ne serait aucunement responsable des actes de défaut de biens dont son époux fait l’objet, lesquels auraient pour unique origine la relation contractuelle qui avait existé entre son époux et E.________ SA. Dans son recours, A.Y.________ ajoute que les conditions de la responsabilité solidaire entre époux ne seraient pas réalisées, dès lors</w:t>
      </w:r>
    </w:p>
    <w:p>
      <w:r>
        <w:t>- 5 - que « les dépens qui sont exigés de [son] mari s’inscrivent dans une procédure qui ne relevait pas des besoins courants de la famille ».</w:t>
      </w:r>
    </w:p>
    <w:p>
      <w:r>
        <w:rPr>
          <w:b/>
        </w:rPr>
        <w:t>E. 3.2</w:t>
      </w:r>
    </w:p>
    <w:p>
      <w:r>
        <w:t>Se rend coupable de contrainte au sens de l'art. 181 CP (Code pénal suisse du 21 décembre 1937 ; RS 311.0)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(TF 6B_153/2017 du 28 novembre 2017 consid. 3.1 ; ATF 101 IV 42 consid. 3a), la menace est un moyen de pression psychologique consistant à annoncer un dommage futur dont la réalisation est présentée comme dépendante de la volonté de l'auteur, sans toutefois qu'il soit nécessaire que cette dépendance soit effective (TF 6B_153/2017 du 28 novembre 2017 consid. 3.1 ; ATF 117 IV 445 consid. 2b ; ATF 106 IV 125 consid. 2a) ni que l'auteur ait réellement la volonté de réaliser sa menace (TF 6B_153/2017 du 28 novembre 2017 consid. 3.1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6B_153/2017 du 28 novembre 2017 consid. 3.1 ;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6B_77/2017 du 16 janvier 2018 consid. 5.1).</w:t>
      </w:r>
    </w:p>
    <w:p>
      <w:r>
        <w:t>- 6 -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(TF 6B_153/2017 du 28 novembre 2017 consid. 3.1 ; ATF 141 IV 437 consid. 3.2.1 ; ATF 137 IV 326 consid. 3.3.1).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(TF 6B_153/2017 du 28 novembre 2017 consid. 3.1 et les arrêts cités). Certes, faire notifier un commandement de payer lorsqu'on est fondé à réclamer une somme est licite. En revanche, utiliser un tel procédé comme moyen de pression est clairement abusif, donc illicite (TF 6B_153/2017 du 28 novembre 2017 consid. 3.1 et les arrêts cités). Lorsque la victime ne se laisse pas intimider et n'adopte pas le comportement voulu par l'auteur, ce dernier est punissable de tentative de contrainte (art. 22 al. 1 CP ; TF 6B_153/2017 du 28 novembre 2017 consid. 3.1 ; ATF 129 IV 262 consid. 2.7 ; ATF 106 IV 125 consid. 2b). Pour qu'il y ait tentative de contrainte, il faut que l'auteur ait agi avec conscience et volonté, soit au moins qu'il ait accepté l'éventualité que le procédé illicite employé entrave le destinataire dans sa liberté de décision (TF 6B_153/2017 du 28 novembre 2017 consid. 3.1 ; ATF 120 IV 17 consid. 2c).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w:t>
      </w:r>
    </w:p>
    <w:p>
      <w:r>
        <w:t>- 7 - comportement (CAPE 3 juin 2011/35 consid. 3.2 ; CREP 3 septembre 2015/581 consid. 2.2).</w:t>
      </w:r>
    </w:p>
    <w:p>
      <w:r>
        <w:rPr>
          <w:b/>
        </w:rPr>
        <w:t>E. 3.3</w:t>
      </w:r>
    </w:p>
    <w:p>
      <w:r>
        <w:t>En l’occurrence, au vu des pièces produites et des explications fournies par la recourante, la légitimité de la poursuite introduite à son encontre n’est pas apparente. A ce stade, il semble en effet douteux que la créance litigieuse entre dans le champ d’application de l’art. 166 CC. D’une part, rien ne permet en l’état de supposer que le montant en question porterait sur les besoins courants du ménage des époux [...]. D’autre part, on ne dispose pas d’un quelconque élément permettant de conclure que B.Y.________ se serait valablement engagé pour le compte de l’union conjugale. A cet égard, on relèvera ce qu’a indiqué D.________ dans son courrier du 29 novembre 2017, soit « je constate que votre conjoint ne fait pas l’effort de régler ce qu’il doit ». Le commandement de payer notifié à la recourante (établi le lendemain de la mise en demeure qui lui a été signifiée le 29 novembre 2017, soit avant même l’échéance du délai de paiement imparti) pourrait constituer un moyen de pression abusif et donc illicite au sens de la jurisprudence précitée. L’infraction de contrainte, à tout le moins sous la forme de la tentative, n’apparaît ainsi pas exclue, de sorte qu’il convient d’ouvrir une procédure. Cette infraction se poursuivant d’office, l’enquête devra également être dirigée contre le président de E.________ SA, soit [...], et son mandataire professionnel, D.________, lesquels ne pouvaient ignorer le cas échéant que la recourante ne serait pas susceptible d’être poursuivie.</w:t>
      </w:r>
    </w:p>
    <w:p>
      <w:r>
        <w:rPr>
          <w:b/>
        </w:rPr>
        <w:t>E. 4</w:t>
      </w:r>
    </w:p>
    <w:p>
      <w:r>
        <w:t>Il résulte de ce qui précède que le recours doit être admis et l’ordonnance attaquée annulée. Le dossier de la cause sera renvoyé au Ministère public de l’arrondissement de La Côte pour qu’il procède dans le sens des considérants qui précèdent. Les frais de la procédure de recours, constitués en l'espèce du seul émolument d'arrêt, par 770 fr. (art. 20 al. 1 TFIP [Tarif des frais de procédure et indemnités en matière pénale du 28 septembre 2010 ; RSV 312.03.1]), seront laissés à la charge de l'Etat (art. 428 al. 4 CPP).</w:t>
      </w:r>
    </w:p>
    <w:p>
      <w:r>
        <w:t>- 8 - L’avance de frais de 550 fr. versée par la recourante à titre de sûretés lui sera restituée. Par ces motifs, la Chambre des recours pénale prononce : I. Le recours est admis. II. L’ordonnance du 20 mars 2018 est annulée. III. Le dossier de la cause est renvoyé au Ministère public de l’arrondissement de La Côte pour qu’il procède dans le sens des considérants. IV. Les frais d’arrêt, par 770 fr. (sept cent septante francs), sont laissés à la charge de l’Etat. V. L’avance de frais de 550 fr. (cinq cent cinquante francs) versée par la recourante à titre de sûretés lui est restituée. VI. L’arrêt est exécutoire. Le président : La greffière :</w:t>
      </w:r>
    </w:p>
    <w:p>
      <w:r>
        <w:t>- 9 - Du Le présent arrêt, dont la rédaction a été approuvée à huis clos, est notifié, par l'envoi d'une copie complète, à : - Mme A.Y.________,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