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PE18.004585 vom 22. Mai 2018</w:t>
      </w:r>
    </w:p>
    <w:p>
      <w:r>
        <w:t>VD Tribunal cantonal, 2018-05-22, FR</w:t>
      </w:r>
    </w:p>
    <w:p>
      <w:r>
        <w:rPr>
          <w:b/>
        </w:rPr>
        <w:t xml:space="preserve">Quelle: </w:t>
      </w:r>
      <w:r>
        <w:t>https://mcp.opencaselaw.ch/entscheid/vd_gerichte_PE18.004585</w:t>
      </w:r>
    </w:p>
    <w:p>
      <w:r>
        <w:t>FR: VD_GERICHTE PE18.004585 du 22 mai 2018</w:t>
      </w:r>
    </w:p>
    <w:p>
      <w:r>
        <w:t>IT: VD_GERICHTE PE18.004585 del 22 maggio 2018</w:t>
      </w:r>
    </w:p>
    <w:p>
      <w:pPr>
        <w:pStyle w:val="Heading2"/>
      </w:pPr>
      <w:r>
        <w:t>Erwägungen</w:t>
      </w:r>
    </w:p>
    <w:p>
      <w:r>
        <w:rPr>
          <w:b/>
        </w:rPr>
        <w:t>E. 1</w:t>
      </w:r>
    </w:p>
    <w:p>
      <w:r>
        <w:t>Les parties peuvent attaquer une ordonnance de non-entrée en matière rendue par le Ministère public (cf. art. 310 CPP [Code de procédure pénale suisse du 5 octobre 2007; RS 312.0]) dans les dix jours devant l’autorité de recours (art. 310 al. 2, 322 al. 2 et 396 al. 1 CPP; cf. art. 20 al. 1 let. b CPP) qui, dans le canton de Vaud, est la Chambre des recours pénale du Tribunal cantonal (art. 13 LVCPP [Loi d’introduction du Code de procédure pénale suisse du 19 mai 2009; RSV 312.01]; art. 80 LOJV [Loi d’organisation judiciaire du 12 décembre 1979; RSV 173.01]). Interjeté en temps utile et dans les formes prescrites (art. 385 al. 1 CPP), auprès de l’autorité compétente, le recours est recevable. On</w:t>
      </w:r>
    </w:p>
    <w:p>
      <w:r>
        <w:t>- 4 - doit admettre que l’infraction d’abus d’autorité dénoncée par le recourant a notamment pour but de protéger ses intérêts privés, de sorte qu’il a la qualité de partie plaignante et donc la qualité pour recourir (art. 382 CPP). En effet, il est généralement admis que l’infraction d’abus d’autorité (art. 312 CP [Code pénal suisse du 21 décembre 1937; RS 311.0]) protège tant l’intérêt de l’Etat à pouvoir compter sur des fonctionnaires fiables faisant usage raisonné du pouvoir de puissance publique qui leur a été conféré que celui des citoyens à n’être pas en but à un exercice incontrôlé, arbitraire, du pouvoir ainsi confié, le fait que l’art. 312 CP institue en condition subjective le dessein de nuire à autrui plaidant clairement en faveur de la protection, en plus des intérêts publics, de ceux, privés, de tiers (ATF 127 IV 209 consid. 1b p. 212 ; TF 6B_138/2017 du 9 février 2018 consid. 7.2.3 et les références citées).</w:t>
      </w:r>
    </w:p>
    <w:p>
      <w:r>
        <w:rPr>
          <w:b/>
        </w:rPr>
        <w:t>E. 2</w:t>
      </w:r>
    </w:p>
    <w:p>
      <w:r>
        <w:t>al. 1 CPP en relation avec les art. 309 al. 1, 319 al. 1 et 324 CPP ;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143 IV 241 consid.</w:t>
      </w:r>
    </w:p>
    <w:p>
      <w:r>
        <w:t>- 5 - 2.2.1 p. 243 ; ATF 138 IV 86 consid. 4.1.2 p. 91 ; ATF 138 IV 186 consid. 4.1 p. 190). Selon l’art. 310 al. 1 let. a CPP,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 entrée en matière n'entre pas en ligne de compte. En règle générale, dans le doute, il convient d'ouvrir une enquête pénale (ATF 137 IV 285 consid.</w:t>
      </w:r>
    </w:p>
    <w:p>
      <w:r>
        <w:rPr>
          <w:b/>
        </w:rPr>
        <w:t>E. 2.3</w:t>
      </w:r>
    </w:p>
    <w:p>
      <w:r>
        <w:t>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3.1</w:t>
      </w:r>
    </w:p>
    <w:p>
      <w:r>
        <w:t>Le recourant reproche aux deux agents d’avoir abusé de leurs pouvoirs dans l’exercice de leur tâche, en ce sens qu’ils ne lui auraient pas permis d’encaisser le montant affiché sur le compteur, soit 295 fr. 30, alors que le taxi était équipé d’une machine à carte de crédit et que ce processus n’aurait duré que quelques minutes. Au lieu d’agir ainsi, les deux policiers se seraient contentés de lui fournir le prénom, le nom et le numéro de téléphone cellulaire d’un des clients alors que sans l’adresse postale du client, qui habite de surcroît à l’étranger, il était impossible de lui réclamer la somme due. Selon lui, les agents de la force de l’ordre auraient agi ainsi dans le but de lui nuire et de faire en sorte qu’il ne puisse pas récupérer le montant de sa course. Il fait enfin valoir que S.________ et B.________ auraient violé l’art. 312 CP en utilisant des moyens disproportionnés.</w:t>
      </w:r>
    </w:p>
    <w:p>
      <w:r>
        <w:rPr>
          <w:b/>
        </w:rPr>
        <w:t>E. 3.2</w:t>
      </w:r>
    </w:p>
    <w:p>
      <w:r>
        <w:t>Selon l'art. 312 CP, les membres d'une autorité et les fonctionnaires qui, dans le dessein de se procurer ou de procurer à un tiers</w:t>
      </w:r>
    </w:p>
    <w:p>
      <w:r>
        <w:t>- 6 - un avantage illicite, ou dans le dessein de nuire à autrui, auront abusé des pouvoirs de leur charge seront punis de la réclusion pour cinq ans au plus ou de l'emprisonnement. Cette disposition punit l'abus d'autorité, soit l'emploi de pouvoirs officiels dans un but contraire à celui recherché (ATF 127 IV 209 consid. 1b p. 212).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p. 211 ; ATF 114 IV 41 consid. 2 p. 43 ; ATF 113 IV 29 consid. 1 p. 30). L'infraction peut aussi être réalisée lorsque l'auteur poursuit un but légitime, mais recourt, pour l'atteindre, à des moyens disproportionnés (ATF 113 IV 29 consid. 1 p. 30 ; ATF 104 IV 22 consid. 2 p. 23).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(TF 6B_699/2011 du 26 janvier 2012 consid. 1.1).</w:t>
      </w:r>
    </w:p>
    <w:p>
      <w:r>
        <w:rPr>
          <w:b/>
        </w:rPr>
        <w:t>E. 3.3</w:t>
      </w:r>
    </w:p>
    <w:p>
      <w:r>
        <w:t>En l’espèce, aucun élément au dossier ne permet de retenir que S.________ et B.________ se soient rendus coupables d’abus de pouvoir. Même s’il était avéré – ce qui n’est pas le cas – que les deux policiers avaient refusé que R.________ encaisse le montant de sa course avec l’appareil à carte installé dans le taxi, ce comportement n’est pas constitutif d’un abus des devoirs de leur charge. En outre, rien dans l’attitude des agents ne permet de retenir qu’ils visaient le dessein spécial de nuire au recourant ni qu’ils aient recouru à des moyens disproportionnés pour atteindre le but de leur tâche. Par ailleurs, les policiers – qui n’avaient aucune obligation positive de permettre au</w:t>
      </w:r>
    </w:p>
    <w:p>
      <w:r>
        <w:t>- 7 - recourant de pouvoir encaisser le montant de sa course – ont dûment communiqué à R.________ les coordonnées du seul client parlant français pour qu’il puisse convenir d’un mode de paiement. Les agents ne sont nullement responsables du fait que le recourant n'ait finalement pas pu encaisser la somme qu'il estimait lui être due, ce quand bien même les policiers ne lui auraient pas fourni l’adresse postale du client en question. Enfin, on rappellera que le recourant a été acheminé au Centre de la Blécherette en raison de son comportement routier et a été empêché de quitter les lieux ensuite de son manque de collaboration. C’est donc son attitude et non celle des policiers qui a conduit à ce que les trois clients doivent être acheminés à destination par un autre chauffeur de taxi. Il s’ensuit que les éléments constitutifs de l’infraction d’abus d’autorité ne sont manifestement pas réalisés en l’espèce et que c’est à bon droit que le Procureur n’est pas entré en matière.</w:t>
      </w:r>
    </w:p>
    <w:p>
      <w:r>
        <w:rPr>
          <w:b/>
        </w:rPr>
        <w:t>E. 4</w:t>
      </w:r>
    </w:p>
    <w:p>
      <w:r>
        <w:t>Il résulte de ce qui précède que le recours doit être rejeté, sans autre échange d'écritures (art. 390 al. 2 CPP), et l'ordonnance du 17 avril 2018 confirmée. Les frais de la procédure de recours, constitués en l'espèce du seul émolument d'arrêt, par 770 fr. (art. 422 al. 1 CPP et 20 al. 1 TFIP [Tarif des frais de procédure et indemnités en matière pénale du 28 septembre 2010 ; RSV 312.03.1]), seront mis à la charge du recourant, qui succombe (art. 428 al. 1 CPP). Dès lors qu'il n'obtient pas gain de cause et que les prévenus ne supportent pas les frais de procédure conformément à l'art. 426 al. 2 CPP, le recourant ne saurait se voir allouer une indemnité pour les dépenses occasionnées par la procédure (art. 433 CPP).</w:t>
      </w:r>
    </w:p>
    <w:p>
      <w:r>
        <w:t>- 8 - Par ces motifs, la Chambre des recours pénale prononce : I. Le recours est rejeté. II. L’ordonnance du 17 avril 2018 est confirmée. III. Les frais d’arrêt, par 770 fr. (sept cent septante francs), sont mis à la charge du recourant. IV. L’arrêt est exécutoire. Le président : La greffière: Du Le présent arrêt, dont la rédaction a été approuvée à huis clos, est notifié, par l'envoi d'une copie complète, à : - Me Kaveh Mirfakhraei, avocat (pour R.________), - M. S.________, - M. B.________, - Ministère public central, et communiqué à : - M. le Premier Procureur de l’arrondissement de La Côte,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